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ook w:val="04A0" w:firstRow="1" w:lastRow="0" w:firstColumn="1" w:lastColumn="0" w:noHBand="0" w:noVBand="1"/>
      </w:tblPr>
      <w:tblGrid>
        <w:gridCol w:w="9639"/>
      </w:tblGrid>
      <w:tr w:rsidR="00B736E5" w:rsidRPr="00EC6DD8" w14:paraId="1A013E8D" w14:textId="77777777" w:rsidTr="00B736E5">
        <w:tc>
          <w:tcPr>
            <w:tcW w:w="9639" w:type="dxa"/>
            <w:shd w:val="clear" w:color="auto" w:fill="auto"/>
          </w:tcPr>
          <w:p w14:paraId="0DC0B516" w14:textId="77777777" w:rsidR="00B736E5" w:rsidRPr="005E15BE" w:rsidRDefault="00B736E5" w:rsidP="002A5758">
            <w:pPr>
              <w:ind w:left="0" w:right="-1"/>
              <w:jc w:val="center"/>
              <w:rPr>
                <w:rFonts w:cs="Segoe UI"/>
                <w:b/>
                <w:spacing w:val="0"/>
                <w:sz w:val="28"/>
                <w:szCs w:val="28"/>
                <w:lang w:val="de-DE"/>
              </w:rPr>
            </w:pPr>
            <w:r w:rsidRPr="005E15BE">
              <w:rPr>
                <w:rFonts w:cs="Segoe UI"/>
                <w:b/>
                <w:spacing w:val="0"/>
                <w:sz w:val="28"/>
                <w:szCs w:val="28"/>
                <w:lang w:val="de-DE"/>
              </w:rPr>
              <w:t>Geheimhaltungsvereinbarung</w:t>
            </w:r>
          </w:p>
          <w:p w14:paraId="34EFC7F6" w14:textId="77777777" w:rsidR="00B736E5" w:rsidRPr="005E15BE" w:rsidRDefault="00B736E5" w:rsidP="002A5758">
            <w:pPr>
              <w:ind w:left="0" w:right="-1"/>
              <w:jc w:val="center"/>
              <w:rPr>
                <w:rFonts w:cs="Segoe UI"/>
                <w:spacing w:val="0"/>
                <w:lang w:val="de-DE"/>
              </w:rPr>
            </w:pPr>
          </w:p>
          <w:p w14:paraId="6DD70055" w14:textId="77777777" w:rsidR="00B736E5" w:rsidRPr="005E15BE" w:rsidRDefault="00B736E5" w:rsidP="002A5758">
            <w:pPr>
              <w:ind w:left="0" w:right="-1"/>
              <w:jc w:val="center"/>
              <w:rPr>
                <w:rFonts w:cs="Segoe UI"/>
                <w:spacing w:val="0"/>
                <w:lang w:val="de-DE"/>
              </w:rPr>
            </w:pPr>
            <w:r w:rsidRPr="005E15BE">
              <w:rPr>
                <w:rFonts w:cs="Segoe UI"/>
                <w:spacing w:val="0"/>
                <w:lang w:val="de-DE"/>
              </w:rPr>
              <w:t>zwischen</w:t>
            </w:r>
          </w:p>
          <w:p w14:paraId="39F1124C" w14:textId="77777777" w:rsidR="00B736E5" w:rsidRPr="005E15BE" w:rsidRDefault="00B736E5" w:rsidP="00B64AC4">
            <w:pPr>
              <w:ind w:left="0" w:right="-1"/>
              <w:jc w:val="center"/>
              <w:rPr>
                <w:rFonts w:cs="Segoe UI"/>
                <w:spacing w:val="0"/>
                <w:lang w:val="de-DE"/>
              </w:rPr>
            </w:pPr>
          </w:p>
          <w:p w14:paraId="7057B982" w14:textId="77777777" w:rsidR="00B736E5" w:rsidRDefault="00B736E5" w:rsidP="002A5758">
            <w:pPr>
              <w:ind w:left="0" w:right="-1"/>
              <w:jc w:val="center"/>
              <w:rPr>
                <w:rFonts w:cs="Segoe UI"/>
                <w:spacing w:val="0"/>
                <w:lang w:val="de-DE"/>
              </w:rPr>
            </w:pPr>
            <w:r w:rsidRPr="009F2166">
              <w:rPr>
                <w:rFonts w:cs="Segoe UI"/>
                <w:spacing w:val="0"/>
                <w:highlight w:val="yellow"/>
                <w:lang w:val="de-DE"/>
              </w:rPr>
              <w:t>[…]</w:t>
            </w:r>
          </w:p>
          <w:p w14:paraId="7074B080" w14:textId="77777777" w:rsidR="00B736E5" w:rsidRDefault="00B736E5" w:rsidP="002A5758">
            <w:pPr>
              <w:ind w:left="0" w:right="-1"/>
              <w:jc w:val="center"/>
              <w:rPr>
                <w:rFonts w:cs="Segoe UI"/>
                <w:spacing w:val="0"/>
                <w:lang w:val="de-DE"/>
              </w:rPr>
            </w:pPr>
            <w:r w:rsidRPr="005E15BE">
              <w:rPr>
                <w:rFonts w:cs="Segoe UI"/>
                <w:spacing w:val="0"/>
                <w:lang w:val="de-DE"/>
              </w:rPr>
              <w:t xml:space="preserve">vertreten durch </w:t>
            </w:r>
            <w:r w:rsidRPr="00353964">
              <w:rPr>
                <w:rFonts w:cs="Segoe UI"/>
                <w:spacing w:val="0"/>
                <w:highlight w:val="yellow"/>
                <w:lang w:val="de-DE"/>
              </w:rPr>
              <w:t>[…]</w:t>
            </w:r>
            <w:r w:rsidRPr="005E15BE">
              <w:rPr>
                <w:rFonts w:cs="Segoe UI"/>
                <w:spacing w:val="0"/>
                <w:lang w:val="de-DE"/>
              </w:rPr>
              <w:t xml:space="preserve"> </w:t>
            </w:r>
          </w:p>
          <w:p w14:paraId="47A41D81" w14:textId="77777777" w:rsidR="00B736E5" w:rsidRDefault="00B736E5" w:rsidP="005E15BE">
            <w:pPr>
              <w:ind w:left="0" w:right="-1"/>
              <w:jc w:val="center"/>
              <w:rPr>
                <w:rFonts w:cs="Segoe UI"/>
                <w:spacing w:val="0"/>
                <w:lang w:val="de-DE"/>
              </w:rPr>
            </w:pPr>
            <w:r w:rsidRPr="009F2166">
              <w:rPr>
                <w:rFonts w:cs="Segoe UI"/>
                <w:spacing w:val="0"/>
                <w:highlight w:val="yellow"/>
                <w:lang w:val="de-DE"/>
              </w:rPr>
              <w:t>[…]</w:t>
            </w:r>
          </w:p>
          <w:p w14:paraId="7E0CB334" w14:textId="77777777" w:rsidR="00B736E5" w:rsidRPr="005E15BE" w:rsidRDefault="00B736E5" w:rsidP="005E15BE">
            <w:pPr>
              <w:ind w:left="0" w:right="-1"/>
              <w:jc w:val="center"/>
              <w:rPr>
                <w:rFonts w:cs="Segoe UI"/>
                <w:spacing w:val="0"/>
                <w:lang w:val="de-DE"/>
              </w:rPr>
            </w:pPr>
          </w:p>
          <w:p w14:paraId="4843CDD2" w14:textId="77777777" w:rsidR="00B736E5" w:rsidRPr="005E15BE" w:rsidRDefault="00B736E5" w:rsidP="002A5758">
            <w:pPr>
              <w:ind w:left="0" w:right="-1"/>
              <w:jc w:val="center"/>
              <w:rPr>
                <w:rFonts w:cs="Segoe UI"/>
                <w:spacing w:val="0"/>
                <w:lang w:val="de-DE"/>
              </w:rPr>
            </w:pPr>
            <w:r w:rsidRPr="005E15BE">
              <w:rPr>
                <w:rFonts w:cs="Segoe UI"/>
                <w:spacing w:val="0"/>
                <w:lang w:val="de-DE"/>
              </w:rPr>
              <w:t>- im Folgenden als „</w:t>
            </w:r>
            <w:r>
              <w:rPr>
                <w:rFonts w:cs="Segoe UI"/>
                <w:spacing w:val="0"/>
                <w:lang w:val="de-DE"/>
              </w:rPr>
              <w:t>Partner</w:t>
            </w:r>
            <w:r w:rsidRPr="005E15BE">
              <w:rPr>
                <w:rFonts w:cs="Segoe UI"/>
                <w:spacing w:val="0"/>
                <w:lang w:val="de-DE"/>
              </w:rPr>
              <w:t>” bezeichnet -</w:t>
            </w:r>
          </w:p>
          <w:p w14:paraId="4F7065B1" w14:textId="77777777" w:rsidR="00B736E5" w:rsidRDefault="00B736E5" w:rsidP="00B64AC4">
            <w:pPr>
              <w:ind w:left="0" w:right="-1"/>
              <w:jc w:val="center"/>
              <w:rPr>
                <w:rFonts w:cs="Segoe UI"/>
                <w:spacing w:val="0"/>
                <w:lang w:val="de-DE"/>
              </w:rPr>
            </w:pPr>
          </w:p>
          <w:p w14:paraId="25FA0E72" w14:textId="77777777" w:rsidR="00B736E5" w:rsidRDefault="00B736E5" w:rsidP="002A5758">
            <w:pPr>
              <w:ind w:left="0" w:right="-1"/>
              <w:jc w:val="center"/>
              <w:rPr>
                <w:rFonts w:cs="Segoe UI"/>
                <w:spacing w:val="0"/>
                <w:lang w:val="de-DE"/>
              </w:rPr>
            </w:pPr>
            <w:r>
              <w:rPr>
                <w:rFonts w:cs="Segoe UI"/>
                <w:spacing w:val="0"/>
                <w:lang w:val="de-DE"/>
              </w:rPr>
              <w:t xml:space="preserve">und </w:t>
            </w:r>
          </w:p>
          <w:p w14:paraId="0508E869" w14:textId="77777777" w:rsidR="00B736E5" w:rsidRPr="005E15BE" w:rsidRDefault="00B736E5" w:rsidP="002A5758">
            <w:pPr>
              <w:ind w:left="0" w:right="-1"/>
              <w:jc w:val="center"/>
              <w:rPr>
                <w:rFonts w:cs="Segoe UI"/>
                <w:spacing w:val="0"/>
                <w:lang w:val="de-DE"/>
              </w:rPr>
            </w:pPr>
          </w:p>
          <w:p w14:paraId="44C75D36" w14:textId="553E8B8B" w:rsidR="00B64AC4" w:rsidRDefault="00F65769" w:rsidP="00B64AC4">
            <w:pPr>
              <w:ind w:left="0" w:right="-1"/>
              <w:jc w:val="center"/>
              <w:rPr>
                <w:rFonts w:cs="Segoe UI"/>
                <w:spacing w:val="0"/>
                <w:lang w:val="de-DE"/>
              </w:rPr>
            </w:pPr>
            <w:r>
              <w:rPr>
                <w:rFonts w:cs="Segoe UI"/>
                <w:spacing w:val="0"/>
                <w:lang w:val="de-DE"/>
              </w:rPr>
              <w:t>Universität des Saarlandes</w:t>
            </w:r>
          </w:p>
          <w:p w14:paraId="4FEB8AE3" w14:textId="2F4FC0C0" w:rsidR="00F65769" w:rsidRDefault="00F65769" w:rsidP="00F65769">
            <w:pPr>
              <w:ind w:left="0" w:right="-1"/>
              <w:jc w:val="center"/>
              <w:rPr>
                <w:rFonts w:cs="Segoe UI"/>
                <w:spacing w:val="0"/>
                <w:lang w:val="de-DE"/>
              </w:rPr>
            </w:pPr>
            <w:r>
              <w:rPr>
                <w:rFonts w:cs="Segoe UI"/>
                <w:spacing w:val="0"/>
                <w:lang w:val="de-DE"/>
              </w:rPr>
              <w:t>Campus</w:t>
            </w:r>
          </w:p>
          <w:p w14:paraId="1A3BF6DE" w14:textId="77777777" w:rsidR="00F65769" w:rsidRDefault="00F65769" w:rsidP="00F65769">
            <w:pPr>
              <w:ind w:left="0" w:right="-1"/>
              <w:jc w:val="center"/>
              <w:rPr>
                <w:rFonts w:cs="Segoe UI"/>
                <w:spacing w:val="0"/>
                <w:lang w:val="de-DE"/>
              </w:rPr>
            </w:pPr>
            <w:r>
              <w:rPr>
                <w:rFonts w:cs="Segoe UI"/>
                <w:spacing w:val="0"/>
                <w:lang w:val="de-DE"/>
              </w:rPr>
              <w:t>66123 Saarbrücken</w:t>
            </w:r>
          </w:p>
          <w:p w14:paraId="097A694F" w14:textId="77777777" w:rsidR="00F65769" w:rsidRDefault="00F65769" w:rsidP="00F65769">
            <w:pPr>
              <w:ind w:left="0" w:right="-1"/>
              <w:jc w:val="center"/>
              <w:rPr>
                <w:rFonts w:cs="Segoe UI"/>
                <w:spacing w:val="0"/>
                <w:lang w:val="de-DE"/>
              </w:rPr>
            </w:pPr>
          </w:p>
          <w:p w14:paraId="3826BA31" w14:textId="77777777" w:rsidR="00F65769" w:rsidRPr="005E15BE" w:rsidRDefault="00F65769" w:rsidP="00F65769">
            <w:pPr>
              <w:ind w:left="0" w:right="-1"/>
              <w:jc w:val="center"/>
              <w:rPr>
                <w:rFonts w:cs="Segoe UI"/>
                <w:spacing w:val="0"/>
                <w:lang w:val="de-DE"/>
              </w:rPr>
            </w:pPr>
            <w:r>
              <w:rPr>
                <w:rFonts w:cs="Segoe UI"/>
                <w:spacing w:val="0"/>
                <w:lang w:val="de-DE"/>
              </w:rPr>
              <w:t>Projektleiter: [</w:t>
            </w:r>
            <w:r w:rsidRPr="00A07E11">
              <w:rPr>
                <w:rFonts w:cs="Segoe UI"/>
                <w:spacing w:val="0"/>
                <w:highlight w:val="yellow"/>
                <w:lang w:val="de-DE"/>
              </w:rPr>
              <w:t>PROFESSOR/INSTITUT/LEHRSTUHL</w:t>
            </w:r>
            <w:r>
              <w:rPr>
                <w:rFonts w:cs="Segoe UI"/>
                <w:spacing w:val="0"/>
                <w:lang w:val="de-DE"/>
              </w:rPr>
              <w:t>]</w:t>
            </w:r>
          </w:p>
          <w:p w14:paraId="40C1B002" w14:textId="77777777" w:rsidR="00F65769" w:rsidRPr="005E15BE" w:rsidRDefault="00F65769" w:rsidP="00F65769">
            <w:pPr>
              <w:ind w:left="0" w:right="-1"/>
              <w:jc w:val="center"/>
              <w:rPr>
                <w:rFonts w:cs="Segoe UI"/>
                <w:spacing w:val="0"/>
                <w:lang w:val="de-DE"/>
              </w:rPr>
            </w:pPr>
          </w:p>
          <w:p w14:paraId="618A1E22" w14:textId="77777777" w:rsidR="00F65769" w:rsidRPr="005E15BE" w:rsidRDefault="00F65769" w:rsidP="00F65769">
            <w:pPr>
              <w:ind w:left="0" w:right="-1"/>
              <w:jc w:val="center"/>
              <w:rPr>
                <w:rFonts w:cs="Segoe UI"/>
                <w:spacing w:val="0"/>
                <w:lang w:val="de-DE"/>
              </w:rPr>
            </w:pPr>
            <w:r w:rsidRPr="005E15BE">
              <w:rPr>
                <w:rFonts w:cs="Segoe UI"/>
                <w:spacing w:val="0"/>
                <w:lang w:val="de-DE"/>
              </w:rPr>
              <w:t>- im Folgenden als „</w:t>
            </w:r>
            <w:r>
              <w:rPr>
                <w:rFonts w:cs="Segoe UI"/>
                <w:spacing w:val="0"/>
                <w:lang w:val="de-DE"/>
              </w:rPr>
              <w:t>UdS</w:t>
            </w:r>
            <w:r w:rsidRPr="005E15BE">
              <w:rPr>
                <w:rFonts w:cs="Segoe UI"/>
                <w:spacing w:val="0"/>
                <w:lang w:val="de-DE"/>
              </w:rPr>
              <w:t>” bezeichnet -</w:t>
            </w:r>
          </w:p>
          <w:p w14:paraId="44095224" w14:textId="77777777" w:rsidR="00B736E5" w:rsidRDefault="00B736E5" w:rsidP="002A5758">
            <w:pPr>
              <w:ind w:left="0" w:right="-1"/>
              <w:rPr>
                <w:rFonts w:cs="Segoe UI"/>
                <w:spacing w:val="0"/>
                <w:lang w:val="de-DE"/>
              </w:rPr>
            </w:pPr>
          </w:p>
          <w:p w14:paraId="34A0FA62" w14:textId="77777777" w:rsidR="00B736E5" w:rsidRPr="005E15BE" w:rsidRDefault="00B736E5" w:rsidP="002A5758">
            <w:pPr>
              <w:ind w:left="0" w:right="-1"/>
              <w:rPr>
                <w:rFonts w:cs="Segoe UI"/>
                <w:spacing w:val="0"/>
                <w:lang w:val="de-DE"/>
              </w:rPr>
            </w:pPr>
          </w:p>
          <w:p w14:paraId="1EB24A22" w14:textId="4CFCF732" w:rsidR="00B736E5" w:rsidRPr="005E15BE" w:rsidRDefault="00B736E5" w:rsidP="007E58E3">
            <w:pPr>
              <w:ind w:left="0" w:right="-1"/>
              <w:jc w:val="center"/>
              <w:rPr>
                <w:rFonts w:cs="Segoe UI"/>
                <w:lang w:val="de-DE"/>
              </w:rPr>
            </w:pPr>
            <w:r w:rsidRPr="005E15BE">
              <w:rPr>
                <w:rFonts w:cs="Segoe UI"/>
                <w:spacing w:val="0"/>
                <w:lang w:val="de-DE"/>
              </w:rPr>
              <w:t xml:space="preserve">- </w:t>
            </w:r>
            <w:r>
              <w:rPr>
                <w:rFonts w:cs="Segoe UI"/>
                <w:spacing w:val="0"/>
                <w:lang w:val="de-DE"/>
              </w:rPr>
              <w:t>„Partner“ und „</w:t>
            </w:r>
            <w:r w:rsidR="00F65769">
              <w:rPr>
                <w:rFonts w:cs="Segoe UI"/>
                <w:spacing w:val="0"/>
                <w:lang w:val="de-DE"/>
              </w:rPr>
              <w:t>UdS</w:t>
            </w:r>
            <w:r>
              <w:rPr>
                <w:rFonts w:cs="Segoe UI"/>
                <w:spacing w:val="0"/>
                <w:lang w:val="de-DE"/>
              </w:rPr>
              <w:t xml:space="preserve">“ </w:t>
            </w:r>
            <w:r w:rsidRPr="005E15BE">
              <w:rPr>
                <w:rFonts w:cs="Segoe UI"/>
                <w:spacing w:val="0"/>
                <w:lang w:val="de-DE"/>
              </w:rPr>
              <w:t xml:space="preserve">im Folgenden </w:t>
            </w:r>
            <w:r>
              <w:rPr>
                <w:rFonts w:cs="Segoe UI"/>
                <w:spacing w:val="0"/>
                <w:lang w:val="de-DE"/>
              </w:rPr>
              <w:t xml:space="preserve">einzeln </w:t>
            </w:r>
            <w:r w:rsidRPr="005E15BE">
              <w:rPr>
                <w:rFonts w:cs="Segoe UI"/>
                <w:spacing w:val="0"/>
                <w:lang w:val="de-DE"/>
              </w:rPr>
              <w:t>als „Partei“</w:t>
            </w:r>
            <w:r>
              <w:rPr>
                <w:rFonts w:cs="Segoe UI"/>
                <w:spacing w:val="0"/>
                <w:lang w:val="de-DE"/>
              </w:rPr>
              <w:t xml:space="preserve"> und gemeinsam als „Parteien“</w:t>
            </w:r>
            <w:r w:rsidRPr="005E15BE">
              <w:rPr>
                <w:rFonts w:cs="Segoe UI"/>
                <w:spacing w:val="0"/>
                <w:lang w:val="de-DE"/>
              </w:rPr>
              <w:t xml:space="preserve"> bezeichnet -</w:t>
            </w:r>
          </w:p>
        </w:tc>
      </w:tr>
      <w:tr w:rsidR="00B736E5" w:rsidRPr="00EC6DD8" w14:paraId="46D10D01" w14:textId="77777777" w:rsidTr="00B736E5">
        <w:tc>
          <w:tcPr>
            <w:tcW w:w="9639" w:type="dxa"/>
            <w:shd w:val="clear" w:color="auto" w:fill="auto"/>
          </w:tcPr>
          <w:p w14:paraId="3CC96DE1" w14:textId="77777777" w:rsidR="00B736E5" w:rsidRPr="00B736E5" w:rsidRDefault="00B736E5" w:rsidP="002A5758">
            <w:pPr>
              <w:ind w:left="0" w:right="-1"/>
              <w:rPr>
                <w:rFonts w:cs="Segoe UI"/>
                <w:spacing w:val="0"/>
                <w:lang w:val="de-DE"/>
              </w:rPr>
            </w:pPr>
          </w:p>
          <w:p w14:paraId="16893598" w14:textId="77777777" w:rsidR="00B736E5" w:rsidRPr="00B736E5" w:rsidRDefault="00B736E5" w:rsidP="002A5758">
            <w:pPr>
              <w:ind w:left="0" w:right="-1"/>
              <w:rPr>
                <w:rFonts w:cs="Segoe UI"/>
                <w:spacing w:val="0"/>
                <w:lang w:val="de-DE"/>
              </w:rPr>
            </w:pPr>
          </w:p>
        </w:tc>
      </w:tr>
      <w:tr w:rsidR="00B736E5" w:rsidRPr="00EC6DD8" w14:paraId="53B16EA4" w14:textId="77777777" w:rsidTr="00B736E5">
        <w:tc>
          <w:tcPr>
            <w:tcW w:w="9639" w:type="dxa"/>
            <w:shd w:val="clear" w:color="auto" w:fill="auto"/>
          </w:tcPr>
          <w:p w14:paraId="5CECBE4C" w14:textId="77777777" w:rsidR="00B736E5" w:rsidRPr="00367147" w:rsidRDefault="00B736E5" w:rsidP="002A5758">
            <w:pPr>
              <w:ind w:left="0" w:right="-1"/>
              <w:rPr>
                <w:rFonts w:cs="Segoe UI"/>
                <w:i/>
                <w:spacing w:val="0"/>
                <w:lang w:val="de-DE"/>
              </w:rPr>
            </w:pPr>
            <w:r w:rsidRPr="00367147">
              <w:rPr>
                <w:rFonts w:cs="Segoe UI"/>
                <w:i/>
                <w:spacing w:val="0"/>
                <w:lang w:val="de-DE"/>
              </w:rPr>
              <w:t>Präambel</w:t>
            </w:r>
          </w:p>
          <w:p w14:paraId="014D48C6" w14:textId="77777777" w:rsidR="00B736E5" w:rsidRPr="007841EE" w:rsidRDefault="00B736E5" w:rsidP="009F2166">
            <w:pPr>
              <w:ind w:left="0" w:right="-1"/>
              <w:rPr>
                <w:rFonts w:cs="Segoe UI"/>
                <w:spacing w:val="0"/>
                <w:lang w:val="de-DE"/>
              </w:rPr>
            </w:pPr>
            <w:r>
              <w:rPr>
                <w:rFonts w:cs="Segoe UI"/>
                <w:spacing w:val="0"/>
                <w:lang w:val="de-DE"/>
              </w:rPr>
              <w:t>Partner</w:t>
            </w:r>
            <w:r w:rsidRPr="007841EE">
              <w:rPr>
                <w:rFonts w:cs="Segoe UI"/>
                <w:spacing w:val="0"/>
                <w:lang w:val="de-DE"/>
              </w:rPr>
              <w:t xml:space="preserve"> ist </w:t>
            </w:r>
            <w:r w:rsidRPr="007841EE">
              <w:rPr>
                <w:rFonts w:cs="Segoe UI"/>
                <w:spacing w:val="0"/>
                <w:highlight w:val="yellow"/>
                <w:lang w:val="de-DE"/>
              </w:rPr>
              <w:t>……………</w:t>
            </w:r>
            <w:proofErr w:type="gramStart"/>
            <w:r w:rsidRPr="007841EE">
              <w:rPr>
                <w:rFonts w:cs="Segoe UI"/>
                <w:spacing w:val="0"/>
                <w:highlight w:val="yellow"/>
                <w:lang w:val="de-DE"/>
              </w:rPr>
              <w:t>…….</w:t>
            </w:r>
            <w:proofErr w:type="gramEnd"/>
            <w:r w:rsidRPr="007841EE">
              <w:rPr>
                <w:rFonts w:cs="Segoe UI"/>
                <w:spacing w:val="0"/>
                <w:highlight w:val="yellow"/>
                <w:lang w:val="de-DE"/>
              </w:rPr>
              <w:t>. (Tätigkeitsfeld?)</w:t>
            </w:r>
            <w:r w:rsidRPr="007841EE">
              <w:rPr>
                <w:rFonts w:cs="Segoe UI"/>
                <w:spacing w:val="0"/>
                <w:lang w:val="de-DE"/>
              </w:rPr>
              <w:t xml:space="preserve">. Die Parteien erwägen </w:t>
            </w:r>
            <w:r w:rsidRPr="007841EE">
              <w:rPr>
                <w:rFonts w:cs="Segoe UI"/>
                <w:spacing w:val="0"/>
                <w:highlight w:val="yellow"/>
                <w:lang w:val="de-DE"/>
              </w:rPr>
              <w:t>……………</w:t>
            </w:r>
            <w:proofErr w:type="gramStart"/>
            <w:r w:rsidRPr="007841EE">
              <w:rPr>
                <w:rFonts w:cs="Segoe UI"/>
                <w:spacing w:val="0"/>
                <w:highlight w:val="yellow"/>
                <w:lang w:val="de-DE"/>
              </w:rPr>
              <w:t>…….</w:t>
            </w:r>
            <w:proofErr w:type="gramEnd"/>
            <w:r w:rsidRPr="007841EE">
              <w:rPr>
                <w:rFonts w:cs="Segoe UI"/>
                <w:spacing w:val="0"/>
                <w:highlight w:val="yellow"/>
                <w:lang w:val="de-DE"/>
              </w:rPr>
              <w:t>. (Zielsetzung, z.B. „</w:t>
            </w:r>
            <w:r w:rsidRPr="007841EE">
              <w:rPr>
                <w:rFonts w:cs="Segoe UI"/>
                <w:i/>
                <w:spacing w:val="0"/>
                <w:highlight w:val="yellow"/>
                <w:lang w:val="de-DE"/>
              </w:rPr>
              <w:t>eine gemeinsame F&amp;E-Tätigkeit und/ oder eine technische Zusammenarbeit“</w:t>
            </w:r>
            <w:r w:rsidRPr="007841EE">
              <w:rPr>
                <w:rFonts w:cs="Segoe UI"/>
                <w:spacing w:val="0"/>
                <w:highlight w:val="yellow"/>
                <w:lang w:val="de-DE"/>
              </w:rPr>
              <w:t>)</w:t>
            </w:r>
            <w:r w:rsidRPr="007841EE">
              <w:rPr>
                <w:rFonts w:cs="Segoe UI"/>
                <w:spacing w:val="0"/>
                <w:lang w:val="de-DE"/>
              </w:rPr>
              <w:t xml:space="preserve">. </w:t>
            </w:r>
          </w:p>
          <w:p w14:paraId="0CED7B45" w14:textId="77777777" w:rsidR="00B736E5" w:rsidRPr="007841EE" w:rsidRDefault="00B736E5" w:rsidP="009F2166">
            <w:pPr>
              <w:ind w:left="0" w:right="-1"/>
              <w:rPr>
                <w:rFonts w:cs="Segoe UI"/>
                <w:spacing w:val="0"/>
                <w:lang w:val="de-DE"/>
              </w:rPr>
            </w:pPr>
          </w:p>
          <w:p w14:paraId="0D9EC769" w14:textId="77777777" w:rsidR="00B736E5" w:rsidRPr="007841EE" w:rsidRDefault="00B736E5" w:rsidP="009F2166">
            <w:pPr>
              <w:ind w:left="0" w:right="-1"/>
              <w:rPr>
                <w:rFonts w:cs="Segoe UI"/>
                <w:spacing w:val="0"/>
                <w:lang w:val="de-DE"/>
              </w:rPr>
            </w:pPr>
            <w:r w:rsidRPr="007841EE">
              <w:rPr>
                <w:rFonts w:cs="Segoe UI"/>
                <w:spacing w:val="0"/>
                <w:lang w:val="de-DE"/>
              </w:rPr>
              <w:t xml:space="preserve">Für den Eintritt in nähere Verhandlungen und die Vorbereitung einer Zusammenarbeit ist ein gegenseitiger Austausch von Geschäfts- und Betriebsgeheimnissen und sonstigen vertraulichen, insbesondere technischen Informationen aus den Bereichen </w:t>
            </w:r>
            <w:r w:rsidRPr="007841EE">
              <w:rPr>
                <w:rFonts w:cs="Segoe UI"/>
                <w:spacing w:val="0"/>
                <w:highlight w:val="yellow"/>
                <w:lang w:val="de-DE"/>
              </w:rPr>
              <w:t>……………</w:t>
            </w:r>
            <w:proofErr w:type="gramStart"/>
            <w:r w:rsidRPr="007841EE">
              <w:rPr>
                <w:rFonts w:cs="Segoe UI"/>
                <w:spacing w:val="0"/>
                <w:highlight w:val="yellow"/>
                <w:lang w:val="de-DE"/>
              </w:rPr>
              <w:t>…….</w:t>
            </w:r>
            <w:proofErr w:type="gramEnd"/>
            <w:r w:rsidRPr="007841EE">
              <w:rPr>
                <w:rFonts w:cs="Segoe UI"/>
                <w:spacing w:val="0"/>
                <w:highlight w:val="yellow"/>
                <w:lang w:val="de-DE"/>
              </w:rPr>
              <w:t>. (konkrete Themengebiete)</w:t>
            </w:r>
            <w:r w:rsidRPr="007841EE">
              <w:rPr>
                <w:rFonts w:cs="Segoe UI"/>
                <w:spacing w:val="0"/>
                <w:lang w:val="de-DE"/>
              </w:rPr>
              <w:t xml:space="preserve"> notwendig. Insbesondere ist der Austausch von Inhalten zu </w:t>
            </w:r>
            <w:r w:rsidRPr="007841EE">
              <w:rPr>
                <w:rFonts w:cs="Segoe UI"/>
                <w:spacing w:val="0"/>
                <w:highlight w:val="yellow"/>
                <w:lang w:val="de-DE"/>
              </w:rPr>
              <w:t>……………</w:t>
            </w:r>
            <w:proofErr w:type="gramStart"/>
            <w:r w:rsidRPr="007841EE">
              <w:rPr>
                <w:rFonts w:cs="Segoe UI"/>
                <w:spacing w:val="0"/>
                <w:highlight w:val="yellow"/>
                <w:lang w:val="de-DE"/>
              </w:rPr>
              <w:t>…….</w:t>
            </w:r>
            <w:proofErr w:type="gramEnd"/>
            <w:r w:rsidRPr="007841EE">
              <w:rPr>
                <w:rFonts w:cs="Segoe UI"/>
                <w:spacing w:val="0"/>
                <w:highlight w:val="yellow"/>
                <w:lang w:val="de-DE"/>
              </w:rPr>
              <w:t xml:space="preserve">. (Um was geht es genau? Patente? </w:t>
            </w:r>
            <w:proofErr w:type="spellStart"/>
            <w:r w:rsidRPr="007841EE">
              <w:rPr>
                <w:rFonts w:cs="Segoe UI"/>
                <w:spacing w:val="0"/>
                <w:highlight w:val="yellow"/>
                <w:lang w:val="de-DE"/>
              </w:rPr>
              <w:t>Know-How</w:t>
            </w:r>
            <w:proofErr w:type="spellEnd"/>
            <w:r w:rsidRPr="007841EE">
              <w:rPr>
                <w:rFonts w:cs="Segoe UI"/>
                <w:spacing w:val="0"/>
                <w:highlight w:val="yellow"/>
                <w:lang w:val="de-DE"/>
              </w:rPr>
              <w:t>? etc.)</w:t>
            </w:r>
            <w:r w:rsidRPr="007841EE">
              <w:rPr>
                <w:rFonts w:cs="Segoe UI"/>
                <w:spacing w:val="0"/>
                <w:lang w:val="de-DE"/>
              </w:rPr>
              <w:t xml:space="preserve"> notwendig.</w:t>
            </w:r>
          </w:p>
          <w:p w14:paraId="1F54AEBF" w14:textId="77777777" w:rsidR="00B736E5" w:rsidRDefault="00B736E5" w:rsidP="009F2166">
            <w:pPr>
              <w:ind w:left="0" w:right="-1"/>
              <w:rPr>
                <w:rFonts w:cs="Segoe UI"/>
                <w:spacing w:val="0"/>
                <w:lang w:val="de-DE"/>
              </w:rPr>
            </w:pPr>
          </w:p>
          <w:p w14:paraId="0EC09BEF" w14:textId="77777777" w:rsidR="00B736E5" w:rsidRPr="007841EE" w:rsidRDefault="00B736E5" w:rsidP="009F2166">
            <w:pPr>
              <w:ind w:left="0" w:right="-1"/>
              <w:rPr>
                <w:rFonts w:cs="Segoe UI"/>
                <w:spacing w:val="0"/>
                <w:lang w:val="de-DE"/>
              </w:rPr>
            </w:pPr>
            <w:r w:rsidRPr="007841EE">
              <w:rPr>
                <w:rFonts w:cs="Segoe UI"/>
                <w:spacing w:val="0"/>
                <w:lang w:val="de-DE"/>
              </w:rPr>
              <w:t>Die Einzelheiten einer möglichen Zusammenarbeit sollen bei positivem Abschluss der Vorgespräche in einem gesonderten Vertrag geregelt werden. Um sicherzustellen, dass die von einer Partei jeweils offenbarten Informationen vertraulich behandelt werden, wird nachfolgende Vereinbarung geschlossen, die auch geschlossen wird, um die Rechte der Parteien zu wahren:</w:t>
            </w:r>
          </w:p>
        </w:tc>
      </w:tr>
      <w:tr w:rsidR="00B736E5" w:rsidRPr="00EC6DD8" w14:paraId="6E60B929" w14:textId="77777777" w:rsidTr="00B736E5">
        <w:tc>
          <w:tcPr>
            <w:tcW w:w="9639" w:type="dxa"/>
            <w:shd w:val="clear" w:color="auto" w:fill="auto"/>
          </w:tcPr>
          <w:p w14:paraId="58EE5C5F" w14:textId="77777777" w:rsidR="00B736E5" w:rsidRPr="00210B68" w:rsidRDefault="00B736E5" w:rsidP="002A5758">
            <w:pPr>
              <w:ind w:left="0" w:right="-1"/>
              <w:rPr>
                <w:rFonts w:cs="Segoe UI"/>
                <w:spacing w:val="0"/>
                <w:lang w:val="de-DE"/>
              </w:rPr>
            </w:pPr>
          </w:p>
        </w:tc>
      </w:tr>
      <w:tr w:rsidR="00B736E5" w:rsidRPr="00EC6DD8" w14:paraId="37EBC4A9" w14:textId="77777777" w:rsidTr="00B736E5">
        <w:tc>
          <w:tcPr>
            <w:tcW w:w="9639" w:type="dxa"/>
            <w:shd w:val="clear" w:color="auto" w:fill="auto"/>
          </w:tcPr>
          <w:p w14:paraId="0FAC51A2" w14:textId="77777777" w:rsidR="00B736E5" w:rsidRPr="0008263E" w:rsidRDefault="00B736E5" w:rsidP="002A5758">
            <w:pPr>
              <w:numPr>
                <w:ilvl w:val="0"/>
                <w:numId w:val="10"/>
              </w:numPr>
              <w:ind w:left="284" w:right="-1" w:hanging="284"/>
              <w:rPr>
                <w:rFonts w:cs="Segoe UI"/>
                <w:spacing w:val="0"/>
                <w:lang w:val="de-DE"/>
              </w:rPr>
            </w:pPr>
            <w:r w:rsidRPr="0008263E">
              <w:rPr>
                <w:rFonts w:cs="Segoe UI"/>
                <w:spacing w:val="0"/>
                <w:lang w:val="de-DE"/>
              </w:rPr>
              <w:lastRenderedPageBreak/>
              <w:t xml:space="preserve">Der Geheimhaltungspflicht unterliegen die einer Partei („empfangende Partei“) von der jeweils anderen Partei („offenbarende Partei“) mitgeteilten bzw. offenbarten geschützten oder ungeschützten technischen und/ oder geschäftlichen Informationen, gleichgültig ob in schriftlicher oder sonstiger Form, einschließlich Daten, Ausarbeitungen, Zeichnungen, Entwürfe, Muster, Stoffe, Prototypen, Gegenstände, Software, </w:t>
            </w:r>
            <w:proofErr w:type="spellStart"/>
            <w:r w:rsidRPr="0008263E">
              <w:rPr>
                <w:rFonts w:cs="Segoe UI"/>
                <w:spacing w:val="0"/>
                <w:lang w:val="de-DE"/>
              </w:rPr>
              <w:t>Know-How</w:t>
            </w:r>
            <w:proofErr w:type="spellEnd"/>
            <w:r w:rsidRPr="0008263E">
              <w:rPr>
                <w:rFonts w:cs="Segoe UI"/>
                <w:spacing w:val="0"/>
                <w:lang w:val="de-DE"/>
              </w:rPr>
              <w:t xml:space="preserve">, Erfindungen und nicht offengelegte Patentanmeldungen, die schriftlich oder mündlich als vertraulich gekennzeichnet sind oder deren Geheimhaltungsbedürftigkeit sich aus den Umständen ergibt (nachfolgend „Informationen“ genannt). </w:t>
            </w:r>
          </w:p>
          <w:p w14:paraId="60C47184" w14:textId="77777777" w:rsidR="00B736E5" w:rsidRPr="0008263E" w:rsidRDefault="00B736E5" w:rsidP="002A5758">
            <w:pPr>
              <w:ind w:right="-1"/>
              <w:rPr>
                <w:rFonts w:cs="Segoe UI"/>
                <w:spacing w:val="0"/>
                <w:lang w:val="de-DE"/>
              </w:rPr>
            </w:pPr>
          </w:p>
          <w:p w14:paraId="6B43C199" w14:textId="77777777" w:rsidR="00B736E5" w:rsidRPr="0008263E" w:rsidRDefault="00B736E5" w:rsidP="00704C21">
            <w:pPr>
              <w:ind w:right="-1"/>
              <w:rPr>
                <w:rFonts w:cs="Segoe UI"/>
                <w:spacing w:val="0"/>
                <w:lang w:val="de-DE"/>
              </w:rPr>
            </w:pPr>
            <w:r w:rsidRPr="0008263E">
              <w:rPr>
                <w:rFonts w:cs="Segoe UI"/>
                <w:spacing w:val="0"/>
                <w:lang w:val="de-DE"/>
              </w:rPr>
              <w:t>Die jeweils empfangende Partei verpflichtet sich, die Informationen streng geheim zu halten. Informationen dürfen an Dritte nur nach schriftlicher zuvor erteilter Zustimmung der anderen Partei und nur unter einem entsprechenden Geheimhaltungsvertrag weitergegeben werden. Zur Erfüllung dieser Geheimhaltungsverpflichtung hat jede Partei alle notwendigen und zumutbaren Maßnahmen zu ergreifen.</w:t>
            </w:r>
          </w:p>
        </w:tc>
      </w:tr>
      <w:tr w:rsidR="00B736E5" w:rsidRPr="00EC6DD8" w14:paraId="36D40981" w14:textId="77777777" w:rsidTr="00B736E5">
        <w:tc>
          <w:tcPr>
            <w:tcW w:w="9639" w:type="dxa"/>
            <w:shd w:val="clear" w:color="auto" w:fill="auto"/>
          </w:tcPr>
          <w:p w14:paraId="6AE44835" w14:textId="77777777" w:rsidR="00B736E5" w:rsidRPr="00210B68" w:rsidRDefault="00B736E5" w:rsidP="002A5758">
            <w:pPr>
              <w:ind w:left="0" w:right="-1"/>
              <w:rPr>
                <w:rFonts w:cs="Segoe UI"/>
                <w:spacing w:val="0"/>
                <w:lang w:val="de-DE"/>
              </w:rPr>
            </w:pPr>
          </w:p>
        </w:tc>
      </w:tr>
      <w:tr w:rsidR="00B736E5" w:rsidRPr="00EC6DD8" w14:paraId="678EBEE0" w14:textId="77777777" w:rsidTr="00B736E5">
        <w:tc>
          <w:tcPr>
            <w:tcW w:w="9639" w:type="dxa"/>
            <w:shd w:val="clear" w:color="auto" w:fill="auto"/>
          </w:tcPr>
          <w:p w14:paraId="4E38B8BA" w14:textId="77777777" w:rsidR="00B736E5" w:rsidRDefault="00B736E5" w:rsidP="00915793">
            <w:pPr>
              <w:numPr>
                <w:ilvl w:val="0"/>
                <w:numId w:val="10"/>
              </w:numPr>
              <w:ind w:left="284" w:right="-1" w:hanging="284"/>
              <w:rPr>
                <w:rFonts w:cs="Segoe UI"/>
                <w:spacing w:val="0"/>
                <w:lang w:val="de-DE"/>
              </w:rPr>
            </w:pPr>
            <w:r w:rsidRPr="0008263E">
              <w:rPr>
                <w:rFonts w:cs="Segoe UI"/>
                <w:spacing w:val="0"/>
                <w:lang w:val="de-DE"/>
              </w:rPr>
              <w:t>Die jeweils empfangende Partei verpflichtet sich, die Informationen nur zum Zweck dieser Vereinbarung zu verwenden. Es ist ihr untersagt, die Informationen oder Teile davon ohne vorherige schriftliche Zustimmung der jeweils anderen Parteien unmittelbar oder mittelbar in irgendeiner Form gewerblich zu verwerten oder zu publizieren. Ferner ist es der jeweils empfangenden Partei untersagt, eine Schutzrechtsanmeldung vorzunehmen, deren Gegenstand ganz oder teilweise auf Informationen beruht oder davon abgeleitet ist.</w:t>
            </w:r>
          </w:p>
          <w:p w14:paraId="7F7D5E0B" w14:textId="178B1887" w:rsidR="00B736E5" w:rsidRPr="00915793" w:rsidRDefault="00B736E5" w:rsidP="00915793">
            <w:pPr>
              <w:ind w:right="-1"/>
              <w:rPr>
                <w:rFonts w:cs="Segoe UI"/>
                <w:spacing w:val="0"/>
                <w:lang w:val="de-DE"/>
              </w:rPr>
            </w:pPr>
          </w:p>
        </w:tc>
      </w:tr>
      <w:tr w:rsidR="00B736E5" w:rsidRPr="00EC6DD8" w14:paraId="2E9CA226" w14:textId="77777777" w:rsidTr="00B736E5">
        <w:tc>
          <w:tcPr>
            <w:tcW w:w="9639" w:type="dxa"/>
            <w:shd w:val="clear" w:color="auto" w:fill="auto"/>
          </w:tcPr>
          <w:p w14:paraId="337582E8" w14:textId="52F92D36" w:rsidR="00B736E5" w:rsidRPr="0008263E" w:rsidRDefault="00210B68" w:rsidP="00915793">
            <w:pPr>
              <w:numPr>
                <w:ilvl w:val="0"/>
                <w:numId w:val="10"/>
              </w:numPr>
              <w:ind w:left="284" w:right="-1" w:hanging="284"/>
              <w:rPr>
                <w:rFonts w:cs="Segoe UI"/>
                <w:spacing w:val="0"/>
                <w:lang w:val="de-DE"/>
              </w:rPr>
            </w:pPr>
            <w:r>
              <w:rPr>
                <w:rFonts w:cs="Segoe UI"/>
                <w:spacing w:val="0"/>
                <w:lang w:val="de-DE"/>
              </w:rPr>
              <w:t>Die</w:t>
            </w:r>
            <w:r w:rsidR="00B736E5" w:rsidRPr="00915793">
              <w:rPr>
                <w:rFonts w:cs="Segoe UI"/>
                <w:spacing w:val="0"/>
                <w:lang w:val="de-DE"/>
              </w:rPr>
              <w:t xml:space="preserve"> </w:t>
            </w:r>
            <w:r w:rsidR="00B736E5">
              <w:rPr>
                <w:rFonts w:cs="Segoe UI"/>
                <w:spacing w:val="0"/>
                <w:lang w:val="de-DE"/>
              </w:rPr>
              <w:t xml:space="preserve">jeweils empfangende Partei </w:t>
            </w:r>
            <w:r w:rsidR="00B736E5" w:rsidRPr="00915793">
              <w:rPr>
                <w:rFonts w:cs="Segoe UI"/>
                <w:spacing w:val="0"/>
                <w:lang w:val="de-DE"/>
              </w:rPr>
              <w:t>verpflichtet sich, hinsichtlich de</w:t>
            </w:r>
            <w:r w:rsidR="00B736E5">
              <w:rPr>
                <w:rFonts w:cs="Segoe UI"/>
                <w:spacing w:val="0"/>
                <w:lang w:val="de-DE"/>
              </w:rPr>
              <w:t>r</w:t>
            </w:r>
            <w:r w:rsidR="00B736E5" w:rsidRPr="00915793">
              <w:rPr>
                <w:rFonts w:cs="Segoe UI"/>
                <w:spacing w:val="0"/>
                <w:lang w:val="de-DE"/>
              </w:rPr>
              <w:t xml:space="preserve"> Informationen de</w:t>
            </w:r>
            <w:r w:rsidR="00B736E5">
              <w:rPr>
                <w:rFonts w:cs="Segoe UI"/>
                <w:spacing w:val="0"/>
                <w:lang w:val="de-DE"/>
              </w:rPr>
              <w:t>r offenbarenden Partei</w:t>
            </w:r>
            <w:r w:rsidR="00B736E5" w:rsidRPr="00915793">
              <w:rPr>
                <w:rFonts w:cs="Segoe UI"/>
                <w:spacing w:val="0"/>
                <w:lang w:val="de-DE"/>
              </w:rPr>
              <w:t xml:space="preserve"> ohne de</w:t>
            </w:r>
            <w:r w:rsidR="00B736E5">
              <w:rPr>
                <w:rFonts w:cs="Segoe UI"/>
                <w:spacing w:val="0"/>
                <w:lang w:val="de-DE"/>
              </w:rPr>
              <w:t>r</w:t>
            </w:r>
            <w:r w:rsidR="00B736E5" w:rsidRPr="00915793">
              <w:rPr>
                <w:rFonts w:cs="Segoe UI"/>
                <w:spacing w:val="0"/>
                <w:lang w:val="de-DE"/>
              </w:rPr>
              <w:t>en ausdrückliches schriftliches Einverständnis kein Reverse Engineering zu betreiben, soweit diese Informationen nicht öffentlich verfügbar sind oder soweit dieses Vorgehen nicht nach §§ 69d, 69e UrhG oder § 11 Nr. 2 PatG, § 12 Nr.</w:t>
            </w:r>
            <w:r w:rsidR="00B736E5">
              <w:rPr>
                <w:rFonts w:cs="Segoe UI"/>
                <w:spacing w:val="0"/>
                <w:lang w:val="de-DE"/>
              </w:rPr>
              <w:t xml:space="preserve"> </w:t>
            </w:r>
            <w:r w:rsidR="00B736E5" w:rsidRPr="00915793">
              <w:rPr>
                <w:rFonts w:cs="Segoe UI"/>
                <w:spacing w:val="0"/>
                <w:lang w:val="de-DE"/>
              </w:rPr>
              <w:t xml:space="preserve">2 GebrMG, § 10 Abs. 1 Nr. 2 </w:t>
            </w:r>
            <w:proofErr w:type="spellStart"/>
            <w:r w:rsidR="00B736E5" w:rsidRPr="00915793">
              <w:rPr>
                <w:rFonts w:cs="Segoe UI"/>
                <w:spacing w:val="0"/>
                <w:lang w:val="de-DE"/>
              </w:rPr>
              <w:t>SortSchG</w:t>
            </w:r>
            <w:proofErr w:type="spellEnd"/>
            <w:r w:rsidR="00B736E5" w:rsidRPr="00915793">
              <w:rPr>
                <w:rFonts w:cs="Segoe UI"/>
                <w:spacing w:val="0"/>
                <w:lang w:val="de-DE"/>
              </w:rPr>
              <w:t>, § 6 Abs. 1 Nr. 1 HalblSchG erlaubt ist.</w:t>
            </w:r>
          </w:p>
        </w:tc>
      </w:tr>
      <w:tr w:rsidR="00B736E5" w:rsidRPr="00EC6DD8" w14:paraId="25AB0AE3" w14:textId="77777777" w:rsidTr="00B736E5">
        <w:tc>
          <w:tcPr>
            <w:tcW w:w="9639" w:type="dxa"/>
            <w:shd w:val="clear" w:color="auto" w:fill="auto"/>
          </w:tcPr>
          <w:p w14:paraId="6A3D7362" w14:textId="77777777" w:rsidR="00B736E5" w:rsidRPr="00B736E5" w:rsidRDefault="00B736E5" w:rsidP="002A5758">
            <w:pPr>
              <w:ind w:left="0" w:right="-1"/>
              <w:rPr>
                <w:rFonts w:cs="Segoe UI"/>
                <w:spacing w:val="0"/>
                <w:lang w:val="de-DE"/>
              </w:rPr>
            </w:pPr>
          </w:p>
        </w:tc>
      </w:tr>
      <w:tr w:rsidR="00B736E5" w:rsidRPr="00EC6DD8" w14:paraId="723106D6" w14:textId="77777777" w:rsidTr="00B736E5">
        <w:tc>
          <w:tcPr>
            <w:tcW w:w="9639" w:type="dxa"/>
            <w:shd w:val="clear" w:color="auto" w:fill="auto"/>
          </w:tcPr>
          <w:p w14:paraId="2DCD7F8E" w14:textId="77777777" w:rsidR="00B736E5" w:rsidRPr="0008263E" w:rsidRDefault="00B736E5" w:rsidP="00FD2822">
            <w:pPr>
              <w:numPr>
                <w:ilvl w:val="0"/>
                <w:numId w:val="10"/>
              </w:numPr>
              <w:ind w:left="284" w:right="-1" w:hanging="284"/>
              <w:rPr>
                <w:rFonts w:cs="Segoe UI"/>
                <w:spacing w:val="0"/>
                <w:lang w:val="de-DE"/>
              </w:rPr>
            </w:pPr>
            <w:r w:rsidRPr="0008263E">
              <w:rPr>
                <w:rFonts w:cs="Segoe UI"/>
                <w:spacing w:val="0"/>
                <w:lang w:val="de-DE"/>
              </w:rPr>
              <w:t>Die jeweils offenbarende Partei behält sich an den Informationen alle eigenen Rechte gleich welcher Art einschließlich aller Urheber- und Nutzungsrechte und das Recht zur Anmeldung von Kennzeichenrechten oder sonstigen gewerblichen Schutzrechten gleich welcher Art vor. Die Mitteilung an den Geheimhaltungsverpflichteten stellt keine neuheitsschädliche Offenbarung im Sinne des Patentrechts dar. Durch diese Vereinbarung bzw. die Übergabe von Informationen räumen sich die Parteien keinerlei Eigentums-, Lizenz-, Nutzungs- oder sonstige Rechte ein. Für den Erwerb entsprechender Rechte ist eine gesonderte Vereinbarung erforderlich.</w:t>
            </w:r>
          </w:p>
        </w:tc>
      </w:tr>
      <w:tr w:rsidR="00B736E5" w:rsidRPr="00EC6DD8" w14:paraId="436564B8" w14:textId="77777777" w:rsidTr="00B736E5">
        <w:tc>
          <w:tcPr>
            <w:tcW w:w="9639" w:type="dxa"/>
            <w:shd w:val="clear" w:color="auto" w:fill="auto"/>
          </w:tcPr>
          <w:p w14:paraId="5DE027E4" w14:textId="77777777" w:rsidR="00B736E5" w:rsidRPr="00210B68" w:rsidRDefault="00B736E5" w:rsidP="002A5758">
            <w:pPr>
              <w:ind w:left="0" w:right="-1"/>
              <w:rPr>
                <w:rFonts w:cs="Segoe UI"/>
                <w:spacing w:val="0"/>
                <w:lang w:val="de-DE"/>
              </w:rPr>
            </w:pPr>
          </w:p>
        </w:tc>
      </w:tr>
      <w:tr w:rsidR="00B736E5" w:rsidRPr="00EC6DD8" w14:paraId="14DFAA6C" w14:textId="77777777" w:rsidTr="00B736E5">
        <w:tc>
          <w:tcPr>
            <w:tcW w:w="9639" w:type="dxa"/>
            <w:shd w:val="clear" w:color="auto" w:fill="auto"/>
          </w:tcPr>
          <w:p w14:paraId="23D5CE2C" w14:textId="77777777" w:rsidR="00B736E5" w:rsidRPr="0008263E" w:rsidRDefault="00B736E5" w:rsidP="00FD2822">
            <w:pPr>
              <w:numPr>
                <w:ilvl w:val="0"/>
                <w:numId w:val="10"/>
              </w:numPr>
              <w:ind w:left="284" w:right="-1" w:hanging="284"/>
              <w:rPr>
                <w:rFonts w:cs="Segoe UI"/>
                <w:spacing w:val="0"/>
                <w:lang w:val="de-DE"/>
              </w:rPr>
            </w:pPr>
            <w:r w:rsidRPr="0008263E">
              <w:rPr>
                <w:rFonts w:cs="Segoe UI"/>
                <w:spacing w:val="0"/>
                <w:lang w:val="de-DE"/>
              </w:rPr>
              <w:t>Die jeweils empfangende Partei verpflichtet sich weiterhin, die Informationen nur solchen Arbeitnehmern oder dienstvertraglich verpflichteten Personen zugänglich zu machen, die sie für den Zweck dieser Vereinbarung benötigen.</w:t>
            </w:r>
          </w:p>
          <w:p w14:paraId="5C5333F7" w14:textId="77777777" w:rsidR="00B736E5" w:rsidRPr="0008263E" w:rsidRDefault="00B736E5" w:rsidP="002A5758">
            <w:pPr>
              <w:ind w:right="-1"/>
              <w:rPr>
                <w:rFonts w:cs="Segoe UI"/>
                <w:spacing w:val="0"/>
                <w:lang w:val="de-DE"/>
              </w:rPr>
            </w:pPr>
          </w:p>
          <w:p w14:paraId="7EFD7D98" w14:textId="77777777" w:rsidR="00B736E5" w:rsidRPr="0008263E" w:rsidRDefault="00B736E5" w:rsidP="002A5758">
            <w:pPr>
              <w:ind w:right="-1"/>
              <w:rPr>
                <w:rFonts w:cs="Segoe UI"/>
                <w:spacing w:val="0"/>
                <w:lang w:val="de-DE"/>
              </w:rPr>
            </w:pPr>
            <w:r w:rsidRPr="0008263E">
              <w:rPr>
                <w:rFonts w:cs="Segoe UI"/>
                <w:spacing w:val="0"/>
                <w:lang w:val="de-DE"/>
              </w:rPr>
              <w:t>Diese Personen werden von den Parteien im gleichen Umfang wie in dieser Vereinbarung zur Geheimhaltung verpflichtet, und zwar auch für die Zeit nach Beendigung der mit ihnen bestehenden Vertragsverhältnisse, soweit dies rechtlich zulässig ist.</w:t>
            </w:r>
          </w:p>
          <w:p w14:paraId="5DC81B84" w14:textId="77777777" w:rsidR="00B736E5" w:rsidRPr="0008263E" w:rsidRDefault="00B736E5" w:rsidP="002A5758">
            <w:pPr>
              <w:ind w:right="-1"/>
              <w:rPr>
                <w:rFonts w:cs="Segoe UI"/>
                <w:spacing w:val="0"/>
                <w:lang w:val="de-DE"/>
              </w:rPr>
            </w:pPr>
          </w:p>
          <w:p w14:paraId="60D474FD" w14:textId="77777777" w:rsidR="00B736E5" w:rsidRPr="0008263E" w:rsidRDefault="00B736E5" w:rsidP="00B30B3C">
            <w:pPr>
              <w:ind w:right="-1"/>
              <w:rPr>
                <w:rFonts w:cs="Segoe UI"/>
                <w:spacing w:val="0"/>
                <w:lang w:val="de-DE"/>
              </w:rPr>
            </w:pPr>
            <w:r w:rsidRPr="0008263E">
              <w:rPr>
                <w:rFonts w:cs="Segoe UI"/>
                <w:spacing w:val="0"/>
                <w:lang w:val="de-DE"/>
              </w:rPr>
              <w:t>Sollte eine empfangende Partei aufgrund einer behördlichen oder gerichtlichen Verfügung verpflichtet sein, Informationen an eine staatliche Stelle herauszugeben, so ist diese Partei verpflichtet, die andere Partei unverzüglich über das Auskunftsverlangen zu informieren und dieser möglichst Gelegenheit zur Prüfung der Rechtslage und Stellungnahme vor Herausgabe der Informationen an eine staatliche Stelle einzuräumen. Einer rechtskräftigen behördlichen oder gerichtlichen Verfügung stehen die Verpflichtungen aus diesem Vertrag nicht entgegen. Die Herausgabe von Informationen ist auf das Notwendigste zu beschränken.</w:t>
            </w:r>
          </w:p>
        </w:tc>
      </w:tr>
      <w:tr w:rsidR="00B736E5" w:rsidRPr="00EC6DD8" w14:paraId="1A9EA671" w14:textId="77777777" w:rsidTr="00B736E5">
        <w:tc>
          <w:tcPr>
            <w:tcW w:w="9639" w:type="dxa"/>
            <w:shd w:val="clear" w:color="auto" w:fill="auto"/>
          </w:tcPr>
          <w:p w14:paraId="6399B771" w14:textId="77777777" w:rsidR="00B736E5" w:rsidRPr="00210B68" w:rsidRDefault="00B736E5" w:rsidP="002A5758">
            <w:pPr>
              <w:ind w:left="0" w:right="-1"/>
              <w:rPr>
                <w:rFonts w:cs="Segoe UI"/>
                <w:spacing w:val="0"/>
                <w:lang w:val="de-DE"/>
              </w:rPr>
            </w:pPr>
          </w:p>
        </w:tc>
      </w:tr>
      <w:tr w:rsidR="00B736E5" w:rsidRPr="00B736E5" w14:paraId="4520701B" w14:textId="77777777" w:rsidTr="00B736E5">
        <w:tc>
          <w:tcPr>
            <w:tcW w:w="9639" w:type="dxa"/>
            <w:shd w:val="clear" w:color="auto" w:fill="auto"/>
          </w:tcPr>
          <w:p w14:paraId="5363F5D8" w14:textId="77777777" w:rsidR="00B736E5" w:rsidRPr="0008263E" w:rsidRDefault="00B736E5" w:rsidP="00FD2822">
            <w:pPr>
              <w:numPr>
                <w:ilvl w:val="0"/>
                <w:numId w:val="10"/>
              </w:numPr>
              <w:ind w:left="284" w:right="-1" w:hanging="284"/>
              <w:rPr>
                <w:rFonts w:cs="Segoe UI"/>
                <w:spacing w:val="0"/>
                <w:lang w:val="de-DE"/>
              </w:rPr>
            </w:pPr>
            <w:r w:rsidRPr="0008263E">
              <w:rPr>
                <w:rFonts w:cs="Segoe UI"/>
                <w:spacing w:val="0"/>
                <w:lang w:val="de-DE"/>
              </w:rPr>
              <w:t>Die Geheimhaltungsverpflichtung entfällt für die jeweils empfangende Partei, soweit die Informationen vor der Mitteilung bereits bekannt oder der Öffentlichkeit vor der Mitteilung bereits bekannt oder allgemein zugänglich waren oder der Öffentlichkeit nach der Mitteilung ohne Verschulden oder Mitwirkung dieser Partei bekannt oder allgemein zugänglich wurden oder ihr von einem berechtigten Dritten offenbart oder zugänglich gemacht werden oder von dieser Partei unabhängig entwickelt wurden. Nachweispflichtig bezüglich solcher Umstände ist die jeweils empfangende Partei.</w:t>
            </w:r>
          </w:p>
        </w:tc>
      </w:tr>
      <w:tr w:rsidR="00B736E5" w:rsidRPr="00B736E5" w14:paraId="4CA35458" w14:textId="77777777" w:rsidTr="00B736E5">
        <w:tc>
          <w:tcPr>
            <w:tcW w:w="9639" w:type="dxa"/>
            <w:shd w:val="clear" w:color="auto" w:fill="auto"/>
          </w:tcPr>
          <w:p w14:paraId="0879A4A3" w14:textId="77777777" w:rsidR="00B736E5" w:rsidRPr="00B736E5" w:rsidRDefault="00B736E5" w:rsidP="002A5758">
            <w:pPr>
              <w:ind w:left="0" w:right="-1"/>
              <w:rPr>
                <w:rFonts w:cs="Segoe UI"/>
                <w:spacing w:val="0"/>
                <w:lang w:val="de-DE"/>
              </w:rPr>
            </w:pPr>
          </w:p>
        </w:tc>
      </w:tr>
      <w:tr w:rsidR="00B736E5" w:rsidRPr="00EC6DD8" w14:paraId="256F3121" w14:textId="77777777" w:rsidTr="00B736E5">
        <w:tc>
          <w:tcPr>
            <w:tcW w:w="9639" w:type="dxa"/>
            <w:shd w:val="clear" w:color="auto" w:fill="auto"/>
          </w:tcPr>
          <w:p w14:paraId="5F41FFB4" w14:textId="7B7CDAD9" w:rsidR="00B736E5" w:rsidRPr="00FD2822" w:rsidRDefault="00B736E5" w:rsidP="00FD2822">
            <w:pPr>
              <w:numPr>
                <w:ilvl w:val="0"/>
                <w:numId w:val="10"/>
              </w:numPr>
              <w:ind w:left="284" w:right="-1" w:hanging="284"/>
              <w:rPr>
                <w:rFonts w:cs="Segoe UI"/>
                <w:spacing w:val="0"/>
                <w:lang w:val="de-DE"/>
              </w:rPr>
            </w:pPr>
            <w:r w:rsidRPr="00FD2822">
              <w:rPr>
                <w:rFonts w:cs="Segoe UI"/>
                <w:spacing w:val="0"/>
                <w:lang w:val="de-DE"/>
              </w:rPr>
              <w:t xml:space="preserve">Die Parteien sind sich darüber einig, dass jede Vertrauliche Information, die im Rahmen des Projekts zwischen den Parteien ausgetauscht wird, ein Geschäftsgeheimnis im Sinne des § 1 Abs. 1 </w:t>
            </w:r>
            <w:proofErr w:type="spellStart"/>
            <w:r w:rsidRPr="00FD2822">
              <w:rPr>
                <w:rFonts w:cs="Segoe UI"/>
                <w:spacing w:val="0"/>
                <w:lang w:val="de-DE"/>
              </w:rPr>
              <w:t>GeschGehG</w:t>
            </w:r>
            <w:proofErr w:type="spellEnd"/>
            <w:r w:rsidRPr="00FD2822">
              <w:rPr>
                <w:rFonts w:cs="Segoe UI"/>
                <w:spacing w:val="0"/>
                <w:lang w:val="de-DE"/>
              </w:rPr>
              <w:t xml:space="preserve"> darstellt und nur rechtmäßig gemäß dieser Vertraulichkeitsvereinbarung erlangt werden kann. Für die Umsetzung der dafür erforderlichen rechtlichen, technischen und organisatorischen Maßnahmen ist jede Partei ausschließlich allein verantwortlich. </w:t>
            </w:r>
          </w:p>
          <w:p w14:paraId="5E36FE3C" w14:textId="77777777" w:rsidR="00B736E5" w:rsidRPr="00FD2822" w:rsidRDefault="00B736E5" w:rsidP="00FD2822">
            <w:pPr>
              <w:ind w:right="-1"/>
              <w:rPr>
                <w:rFonts w:cs="Segoe UI"/>
                <w:spacing w:val="0"/>
                <w:lang w:val="de-DE"/>
              </w:rPr>
            </w:pPr>
          </w:p>
          <w:p w14:paraId="45AC7CBF" w14:textId="1752375B" w:rsidR="00B736E5" w:rsidRPr="00FD2822" w:rsidRDefault="00B736E5" w:rsidP="00FD2822">
            <w:pPr>
              <w:ind w:right="-1"/>
              <w:rPr>
                <w:rFonts w:cs="Segoe UI"/>
                <w:spacing w:val="0"/>
                <w:lang w:val="de-DE"/>
              </w:rPr>
            </w:pPr>
            <w:r w:rsidRPr="00FD2822">
              <w:rPr>
                <w:rFonts w:cs="Segoe UI"/>
                <w:spacing w:val="0"/>
                <w:lang w:val="de-DE"/>
              </w:rPr>
              <w:t xml:space="preserve">In Abweichung von § 3 Abs. 1 Nr. 2 </w:t>
            </w:r>
            <w:proofErr w:type="spellStart"/>
            <w:r w:rsidRPr="00FD2822">
              <w:rPr>
                <w:rFonts w:cs="Segoe UI"/>
                <w:spacing w:val="0"/>
                <w:lang w:val="de-DE"/>
              </w:rPr>
              <w:t>GeschGehG</w:t>
            </w:r>
            <w:proofErr w:type="spellEnd"/>
            <w:r w:rsidRPr="00FD2822">
              <w:rPr>
                <w:rFonts w:cs="Segoe UI"/>
                <w:spacing w:val="0"/>
                <w:lang w:val="de-DE"/>
              </w:rPr>
              <w:t xml:space="preserve"> ist die jeweils empfangende Partei nicht dazu berechtigt, Geschäftsgeheimnisse der jeweils anderen Partei durch Beobachten, Untersuchen, Rückbau oder Testen der Vertraulichen Informationen zu erlangen. Die jeweils empfangende Partei hat mit geeigneten Maßnahmen sicherzustellen, dass ihre verbundenen Unternehmen und Repräsentanten dieser Beschränkung in gleichem Umfang unterliegen.</w:t>
            </w:r>
          </w:p>
          <w:p w14:paraId="2F470891" w14:textId="77777777" w:rsidR="00B736E5" w:rsidRPr="00FD2822" w:rsidRDefault="00B736E5" w:rsidP="00FD2822">
            <w:pPr>
              <w:ind w:right="-1"/>
              <w:rPr>
                <w:rFonts w:cs="Segoe UI"/>
                <w:spacing w:val="0"/>
                <w:lang w:val="de-DE"/>
              </w:rPr>
            </w:pPr>
          </w:p>
          <w:p w14:paraId="02921E80" w14:textId="035DC9E7" w:rsidR="00B736E5" w:rsidRDefault="00B736E5" w:rsidP="00FD2822">
            <w:pPr>
              <w:ind w:right="-1"/>
              <w:rPr>
                <w:rFonts w:cs="Segoe UI"/>
                <w:spacing w:val="0"/>
                <w:lang w:val="de-DE"/>
              </w:rPr>
            </w:pPr>
            <w:r w:rsidRPr="00FD2822">
              <w:rPr>
                <w:rFonts w:cs="Segoe UI"/>
                <w:spacing w:val="0"/>
                <w:lang w:val="de-DE"/>
              </w:rPr>
              <w:t xml:space="preserve">Die rechtmäßige Kontrolle an einem ausgetauschten Geschäftsgeheimnis im Sinne von § 2 Nr. 2 </w:t>
            </w:r>
            <w:proofErr w:type="spellStart"/>
            <w:r w:rsidRPr="00FD2822">
              <w:rPr>
                <w:rFonts w:cs="Segoe UI"/>
                <w:spacing w:val="0"/>
                <w:lang w:val="de-DE"/>
              </w:rPr>
              <w:t>GeschGehG</w:t>
            </w:r>
            <w:proofErr w:type="spellEnd"/>
            <w:r w:rsidRPr="00FD2822">
              <w:rPr>
                <w:rFonts w:cs="Segoe UI"/>
                <w:spacing w:val="0"/>
                <w:lang w:val="de-DE"/>
              </w:rPr>
              <w:t xml:space="preserve"> steht ausschließlich derjenigen Partei zu, welche es ursprünglich hatte und der anderen Partei im Rahmen der Kommunikation zu diesem Projekt erstmals übermittelt hat. Dementsprechend steht der jeweils empfangenden Partei insbesondere keine entsprechende Klagebefugnis zu.</w:t>
            </w:r>
          </w:p>
          <w:p w14:paraId="40175352" w14:textId="77777777" w:rsidR="00B736E5" w:rsidRPr="00FD2822" w:rsidRDefault="00B736E5" w:rsidP="00FD2822">
            <w:pPr>
              <w:ind w:right="-1"/>
              <w:rPr>
                <w:rFonts w:cs="Segoe UI"/>
                <w:spacing w:val="0"/>
                <w:lang w:val="de-DE"/>
              </w:rPr>
            </w:pPr>
          </w:p>
          <w:p w14:paraId="36C3A52B" w14:textId="68AE5224" w:rsidR="00B736E5" w:rsidRPr="00FD2822" w:rsidRDefault="00B736E5" w:rsidP="00FD2822">
            <w:pPr>
              <w:ind w:right="-1"/>
              <w:rPr>
                <w:rFonts w:cs="Segoe UI"/>
                <w:spacing w:val="0"/>
                <w:lang w:val="de-DE"/>
              </w:rPr>
            </w:pPr>
            <w:r w:rsidRPr="00FD2822">
              <w:rPr>
                <w:rFonts w:cs="Segoe UI"/>
                <w:spacing w:val="0"/>
                <w:lang w:val="de-DE"/>
              </w:rPr>
              <w:t xml:space="preserve">Weitere Ansprüche nach den §§ 6 ff. </w:t>
            </w:r>
            <w:proofErr w:type="spellStart"/>
            <w:r w:rsidRPr="00FD2822">
              <w:rPr>
                <w:rFonts w:cs="Segoe UI"/>
                <w:spacing w:val="0"/>
                <w:lang w:val="de-DE"/>
              </w:rPr>
              <w:t>GeschGehG</w:t>
            </w:r>
            <w:proofErr w:type="spellEnd"/>
            <w:r w:rsidRPr="00FD2822">
              <w:rPr>
                <w:rFonts w:cs="Segoe UI"/>
                <w:spacing w:val="0"/>
                <w:lang w:val="de-DE"/>
              </w:rPr>
              <w:t xml:space="preserve"> bleiben unberührt.</w:t>
            </w:r>
          </w:p>
          <w:p w14:paraId="4A3AF0C6" w14:textId="7AD1B810" w:rsidR="00B736E5" w:rsidRPr="00FD2822" w:rsidRDefault="00B736E5" w:rsidP="00FD2822">
            <w:pPr>
              <w:ind w:right="-1"/>
              <w:rPr>
                <w:rFonts w:cs="Segoe UI"/>
                <w:spacing w:val="0"/>
                <w:lang w:val="de-DE"/>
              </w:rPr>
            </w:pPr>
          </w:p>
        </w:tc>
      </w:tr>
      <w:tr w:rsidR="00B736E5" w:rsidRPr="00EC6DD8" w14:paraId="6C89ACF8" w14:textId="77777777" w:rsidTr="00B736E5">
        <w:tc>
          <w:tcPr>
            <w:tcW w:w="9639" w:type="dxa"/>
            <w:shd w:val="clear" w:color="auto" w:fill="auto"/>
          </w:tcPr>
          <w:p w14:paraId="30E78066" w14:textId="23D116C4" w:rsidR="00B736E5" w:rsidRPr="0008263E" w:rsidRDefault="00B736E5" w:rsidP="00FD2822">
            <w:pPr>
              <w:numPr>
                <w:ilvl w:val="0"/>
                <w:numId w:val="10"/>
              </w:numPr>
              <w:ind w:left="284" w:right="-1" w:hanging="284"/>
              <w:rPr>
                <w:rFonts w:cs="Segoe UI"/>
                <w:spacing w:val="0"/>
                <w:lang w:val="de-DE"/>
              </w:rPr>
            </w:pPr>
            <w:r w:rsidRPr="0008263E">
              <w:rPr>
                <w:rFonts w:cs="Segoe UI"/>
                <w:spacing w:val="0"/>
                <w:lang w:val="de-DE"/>
              </w:rPr>
              <w:t>Die jeweils empfangende Part</w:t>
            </w:r>
            <w:r>
              <w:rPr>
                <w:rFonts w:cs="Segoe UI"/>
                <w:spacing w:val="0"/>
                <w:lang w:val="de-DE"/>
              </w:rPr>
              <w:t>ei</w:t>
            </w:r>
            <w:r w:rsidRPr="0008263E">
              <w:rPr>
                <w:rFonts w:cs="Segoe UI"/>
                <w:spacing w:val="0"/>
                <w:lang w:val="de-DE"/>
              </w:rPr>
              <w:t xml:space="preserve"> hat der jeweils anderen Partei die schriftlichen Informationen auf schriftliches Verlangen unverzüglich zurückgeben. Dies gilt auch für Aufzeichnungen, die die Parteien von den Informationen schriftlich oder auf sonstigen Datenträgern angefertigt haben, sowie für Kopien der Informationen, unabhängig davon, ob diese in Papierform oder auf sonstigen Datenträgern vorliegen. Im Fall nicht herausgabefähige</w:t>
            </w:r>
            <w:r w:rsidR="00210B68">
              <w:rPr>
                <w:rFonts w:cs="Segoe UI"/>
                <w:spacing w:val="0"/>
                <w:lang w:val="de-DE"/>
              </w:rPr>
              <w:t>r</w:t>
            </w:r>
            <w:r w:rsidRPr="0008263E">
              <w:rPr>
                <w:rFonts w:cs="Segoe UI"/>
                <w:spacing w:val="0"/>
                <w:lang w:val="de-DE"/>
              </w:rPr>
              <w:t xml:space="preserve"> Datenträger, wie Festplatten o. ä., sind die entsprechenden Daten über die Informationen auf schriftliches Verlangen der jeweiligen Partei sofern und soweit technisch </w:t>
            </w:r>
            <w:r w:rsidRPr="0008263E">
              <w:rPr>
                <w:rFonts w:cs="Segoe UI"/>
                <w:spacing w:val="0"/>
                <w:lang w:val="de-DE"/>
              </w:rPr>
              <w:lastRenderedPageBreak/>
              <w:t>zumutbar und rechtlich zulässig zu löschen oder in sonstiger Weise zu vernichten. Die jeweils empfangende Partei wird auf schriftliches Verlangen der Partei, von der die jeweiligen Informationen stammen, unverzüglich schriftlich bestätigen, dass entsprechend der vorstehenden Verpflichtung sämtliche Dokumente und Unterlagen herausgegeben bzw. gelöscht oder vernichtet worden sind.</w:t>
            </w:r>
          </w:p>
        </w:tc>
      </w:tr>
      <w:tr w:rsidR="00B736E5" w:rsidRPr="00EC6DD8" w14:paraId="02125957" w14:textId="77777777" w:rsidTr="00B736E5">
        <w:tc>
          <w:tcPr>
            <w:tcW w:w="9639" w:type="dxa"/>
            <w:shd w:val="clear" w:color="auto" w:fill="auto"/>
          </w:tcPr>
          <w:p w14:paraId="78BDA458" w14:textId="77777777" w:rsidR="00B736E5" w:rsidRPr="00210B68" w:rsidRDefault="00B736E5" w:rsidP="002A5758">
            <w:pPr>
              <w:ind w:left="0" w:right="-1"/>
              <w:rPr>
                <w:rFonts w:cs="Segoe UI"/>
                <w:spacing w:val="0"/>
                <w:lang w:val="de-DE"/>
              </w:rPr>
            </w:pPr>
          </w:p>
        </w:tc>
      </w:tr>
      <w:tr w:rsidR="00B736E5" w:rsidRPr="00EC6DD8" w14:paraId="6E412C5E" w14:textId="77777777" w:rsidTr="00B736E5">
        <w:tc>
          <w:tcPr>
            <w:tcW w:w="9639" w:type="dxa"/>
            <w:shd w:val="clear" w:color="auto" w:fill="auto"/>
          </w:tcPr>
          <w:p w14:paraId="14F9FF94" w14:textId="77777777" w:rsidR="00B736E5" w:rsidRPr="0008263E" w:rsidRDefault="00B736E5" w:rsidP="00FD2822">
            <w:pPr>
              <w:numPr>
                <w:ilvl w:val="0"/>
                <w:numId w:val="10"/>
              </w:numPr>
              <w:ind w:left="284" w:right="-1" w:hanging="284"/>
              <w:rPr>
                <w:rFonts w:cs="Segoe UI"/>
                <w:spacing w:val="0"/>
                <w:lang w:val="de-DE"/>
              </w:rPr>
            </w:pPr>
            <w:r w:rsidRPr="0008263E">
              <w:rPr>
                <w:rFonts w:cs="Segoe UI"/>
                <w:spacing w:val="0"/>
                <w:lang w:val="de-DE"/>
              </w:rPr>
              <w:t>Die Parteien übernehmen keine Gewähr hinsichtlich der Richtigkeit und Vollständigkeit der offenbarten Informationen.</w:t>
            </w:r>
          </w:p>
        </w:tc>
      </w:tr>
      <w:tr w:rsidR="00B736E5" w:rsidRPr="00EC6DD8" w14:paraId="2745BECE" w14:textId="77777777" w:rsidTr="00B736E5">
        <w:tc>
          <w:tcPr>
            <w:tcW w:w="9639" w:type="dxa"/>
            <w:shd w:val="clear" w:color="auto" w:fill="auto"/>
          </w:tcPr>
          <w:p w14:paraId="55501439" w14:textId="77777777" w:rsidR="00B736E5" w:rsidRPr="00B736E5" w:rsidRDefault="00B736E5" w:rsidP="002A5758">
            <w:pPr>
              <w:ind w:left="0" w:right="-1"/>
              <w:rPr>
                <w:rFonts w:cs="Segoe UI"/>
                <w:spacing w:val="0"/>
                <w:lang w:val="de-DE"/>
              </w:rPr>
            </w:pPr>
          </w:p>
        </w:tc>
      </w:tr>
      <w:tr w:rsidR="00B736E5" w:rsidRPr="00EC6DD8" w14:paraId="6F1B32D0" w14:textId="77777777" w:rsidTr="00B736E5">
        <w:tc>
          <w:tcPr>
            <w:tcW w:w="9639" w:type="dxa"/>
            <w:shd w:val="clear" w:color="auto" w:fill="auto"/>
          </w:tcPr>
          <w:p w14:paraId="39B5BC94" w14:textId="77777777" w:rsidR="00B736E5" w:rsidRPr="0008263E" w:rsidRDefault="00B736E5" w:rsidP="00FD2822">
            <w:pPr>
              <w:numPr>
                <w:ilvl w:val="0"/>
                <w:numId w:val="10"/>
              </w:numPr>
              <w:ind w:left="284" w:right="-1" w:hanging="284"/>
              <w:rPr>
                <w:rFonts w:cs="Segoe UI"/>
                <w:spacing w:val="0"/>
                <w:lang w:val="de-DE"/>
              </w:rPr>
            </w:pPr>
            <w:r w:rsidRPr="0008263E">
              <w:rPr>
                <w:rFonts w:cs="Segoe UI"/>
                <w:spacing w:val="0"/>
                <w:lang w:val="de-DE"/>
              </w:rPr>
              <w:t>Diese Vereinbarung tritt mit Unterzeichnung durch die Parteien in Kraft und hat eine Laufzeit von zwei (2) Jahren.</w:t>
            </w:r>
          </w:p>
          <w:p w14:paraId="0C104825" w14:textId="77777777" w:rsidR="00B736E5" w:rsidRPr="0008263E" w:rsidRDefault="00B736E5" w:rsidP="00FD2822">
            <w:pPr>
              <w:ind w:right="-1"/>
              <w:rPr>
                <w:rFonts w:cs="Segoe UI"/>
                <w:spacing w:val="0"/>
                <w:lang w:val="de-DE"/>
              </w:rPr>
            </w:pPr>
          </w:p>
          <w:p w14:paraId="67AC66C4" w14:textId="77777777" w:rsidR="00B736E5" w:rsidRPr="0008263E" w:rsidRDefault="00B736E5" w:rsidP="00FD2822">
            <w:pPr>
              <w:ind w:right="-1"/>
              <w:rPr>
                <w:rFonts w:cs="Segoe UI"/>
                <w:spacing w:val="0"/>
                <w:lang w:val="de-DE"/>
              </w:rPr>
            </w:pPr>
            <w:r w:rsidRPr="0008263E">
              <w:rPr>
                <w:rFonts w:cs="Segoe UI"/>
                <w:spacing w:val="0"/>
                <w:lang w:val="de-DE"/>
              </w:rPr>
              <w:t>Die sich aus dieser Vereinbarung ergebenden Pflichten zur Geheimhaltung und Nichtverwendung der Informationen bleiben von einer Beendigung dieser Vereinbarung unberührt und gelten für weitere fünf (5) Jahre nach Beendigung dieser Vereinbarung weiter.</w:t>
            </w:r>
          </w:p>
        </w:tc>
      </w:tr>
      <w:tr w:rsidR="00B736E5" w:rsidRPr="00EC6DD8" w14:paraId="1137C9D7" w14:textId="77777777" w:rsidTr="00B736E5">
        <w:tc>
          <w:tcPr>
            <w:tcW w:w="9639" w:type="dxa"/>
            <w:shd w:val="clear" w:color="auto" w:fill="auto"/>
          </w:tcPr>
          <w:p w14:paraId="01794AC1" w14:textId="77777777" w:rsidR="00B736E5" w:rsidRPr="00210B68" w:rsidRDefault="00B736E5" w:rsidP="002A5758">
            <w:pPr>
              <w:ind w:left="0" w:right="-1"/>
              <w:rPr>
                <w:rFonts w:cs="Segoe UI"/>
                <w:spacing w:val="0"/>
                <w:lang w:val="de-DE"/>
              </w:rPr>
            </w:pPr>
          </w:p>
        </w:tc>
      </w:tr>
      <w:tr w:rsidR="00B736E5" w:rsidRPr="00EC6DD8" w14:paraId="71645E6D" w14:textId="77777777" w:rsidTr="00B736E5">
        <w:tc>
          <w:tcPr>
            <w:tcW w:w="9639" w:type="dxa"/>
            <w:shd w:val="clear" w:color="auto" w:fill="auto"/>
          </w:tcPr>
          <w:p w14:paraId="24470620" w14:textId="77777777" w:rsidR="00B736E5" w:rsidRPr="0008263E" w:rsidRDefault="00B736E5" w:rsidP="00FD2822">
            <w:pPr>
              <w:numPr>
                <w:ilvl w:val="0"/>
                <w:numId w:val="10"/>
              </w:numPr>
              <w:ind w:left="284" w:right="-1" w:hanging="284"/>
              <w:rPr>
                <w:rFonts w:cs="Segoe UI"/>
                <w:spacing w:val="0"/>
                <w:lang w:val="de-DE"/>
              </w:rPr>
            </w:pPr>
            <w:r w:rsidRPr="0008263E">
              <w:rPr>
                <w:rFonts w:cs="Segoe UI"/>
                <w:spacing w:val="0"/>
                <w:lang w:val="de-DE"/>
              </w:rPr>
              <w:t>Für die Anwendung und Auslegung dieser Vereinbarung gilt unter Ausschluss des Kollisionsrechtes und des UN-Kaufrechts das Recht der Bundesrepublik Deutschland. Für Streitigkeiten aus diesem Vertrag vereinbaren die Parteien Saarbrücken als ausschließlichen Gerichtsstand.</w:t>
            </w:r>
          </w:p>
        </w:tc>
      </w:tr>
      <w:tr w:rsidR="00B736E5" w:rsidRPr="00EC6DD8" w14:paraId="6BFD333B" w14:textId="77777777" w:rsidTr="00B736E5">
        <w:tc>
          <w:tcPr>
            <w:tcW w:w="9639" w:type="dxa"/>
            <w:shd w:val="clear" w:color="auto" w:fill="auto"/>
          </w:tcPr>
          <w:p w14:paraId="328768D8" w14:textId="77777777" w:rsidR="00B736E5" w:rsidRPr="00210B68" w:rsidRDefault="00B736E5" w:rsidP="002A5758">
            <w:pPr>
              <w:ind w:left="0" w:right="-1"/>
              <w:rPr>
                <w:rFonts w:cs="Segoe UI"/>
                <w:spacing w:val="0"/>
                <w:lang w:val="de-DE"/>
              </w:rPr>
            </w:pPr>
          </w:p>
        </w:tc>
      </w:tr>
      <w:tr w:rsidR="00B736E5" w:rsidRPr="00431388" w14:paraId="2F2AA192" w14:textId="77777777" w:rsidTr="00B736E5">
        <w:tc>
          <w:tcPr>
            <w:tcW w:w="9639" w:type="dxa"/>
            <w:shd w:val="clear" w:color="auto" w:fill="auto"/>
          </w:tcPr>
          <w:p w14:paraId="6BA35F15" w14:textId="549A8C40" w:rsidR="00B736E5" w:rsidRPr="0008263E" w:rsidRDefault="00B736E5" w:rsidP="00FD2822">
            <w:pPr>
              <w:numPr>
                <w:ilvl w:val="0"/>
                <w:numId w:val="10"/>
              </w:numPr>
              <w:ind w:left="284" w:right="-1" w:hanging="284"/>
              <w:rPr>
                <w:rFonts w:cs="Segoe UI"/>
                <w:spacing w:val="0"/>
                <w:lang w:val="de-DE"/>
              </w:rPr>
            </w:pPr>
            <w:r w:rsidRPr="0008263E">
              <w:rPr>
                <w:rFonts w:cs="Segoe UI"/>
                <w:spacing w:val="0"/>
                <w:lang w:val="de-DE"/>
              </w:rPr>
              <w:t>Änderungen dieser Vereinbarung bedürfen der Schriftform. Dies gilt auch für die Abbedingung des Schriftformerfordernisses.</w:t>
            </w:r>
            <w:r w:rsidR="00FF4C74">
              <w:rPr>
                <w:rFonts w:cs="Segoe UI"/>
                <w:spacing w:val="0"/>
                <w:lang w:val="de-DE"/>
              </w:rPr>
              <w:t xml:space="preserve"> </w:t>
            </w:r>
            <w:r w:rsidR="005C0B19">
              <w:rPr>
                <w:rFonts w:cs="Segoe UI"/>
                <w:spacing w:val="0"/>
                <w:lang w:val="de-DE"/>
              </w:rPr>
              <w:t>Das Schriftformerfordernis kann</w:t>
            </w:r>
            <w:r w:rsidR="00FF4C74">
              <w:rPr>
                <w:rFonts w:cs="Segoe UI"/>
                <w:spacing w:val="0"/>
                <w:lang w:val="de-DE"/>
              </w:rPr>
              <w:t xml:space="preserve"> auch durch den Austausch gescannter Unterschriften </w:t>
            </w:r>
            <w:r w:rsidR="005C0B19">
              <w:rPr>
                <w:rFonts w:cs="Segoe UI"/>
                <w:spacing w:val="0"/>
                <w:lang w:val="de-DE"/>
              </w:rPr>
              <w:t>ersetzt</w:t>
            </w:r>
            <w:r w:rsidR="00FF4C74">
              <w:rPr>
                <w:rFonts w:cs="Segoe UI"/>
                <w:spacing w:val="0"/>
                <w:lang w:val="de-DE"/>
              </w:rPr>
              <w:t xml:space="preserve"> werden.</w:t>
            </w:r>
          </w:p>
          <w:p w14:paraId="7583A42F" w14:textId="77777777" w:rsidR="00B736E5" w:rsidRPr="0008263E" w:rsidRDefault="00B736E5" w:rsidP="002A5758">
            <w:pPr>
              <w:ind w:right="-1"/>
              <w:rPr>
                <w:rFonts w:cs="Segoe UI"/>
                <w:spacing w:val="0"/>
                <w:lang w:val="de-DE"/>
              </w:rPr>
            </w:pPr>
          </w:p>
          <w:p w14:paraId="563E8D25" w14:textId="77777777" w:rsidR="00B736E5" w:rsidRPr="0008263E" w:rsidRDefault="00B736E5" w:rsidP="002A2F7C">
            <w:pPr>
              <w:ind w:right="-1"/>
              <w:rPr>
                <w:rFonts w:cs="Segoe UI"/>
                <w:spacing w:val="0"/>
                <w:lang w:val="de-DE"/>
              </w:rPr>
            </w:pPr>
            <w:r w:rsidRPr="0008263E">
              <w:rPr>
                <w:rFonts w:cs="Segoe UI"/>
                <w:spacing w:val="0"/>
                <w:lang w:val="de-DE"/>
              </w:rPr>
              <w:t>Diese Vereinbarung enthält sämtliche Bestimmungen in Bezug auf ihren Gegenstand. Sollten eine oder mehrere Bestimmungen dieser Vereinbarung rechtsunwirksam sein oder werden, so soll dadurch die Gültigkeit der übrigen Bestimmungen nicht berührt werden. Die Parteien vereinbaren, die ungültige, unwirksame oder undurchsetzbare Bestimmung durch eine gültige, wirksame und durchsetzbare Bestimmung zu ersetzen, die den wirtschaftlichen Interessen der Parteien am ehesten entspricht. Dies gilt auch im Falle einer Vertragslücke.</w:t>
            </w:r>
          </w:p>
        </w:tc>
      </w:tr>
    </w:tbl>
    <w:p w14:paraId="2A6E327D" w14:textId="77777777" w:rsidR="00B736E5" w:rsidRDefault="00B736E5">
      <w:r>
        <w:br w:type="page"/>
      </w:r>
    </w:p>
    <w:tbl>
      <w:tblPr>
        <w:tblW w:w="9639" w:type="dxa"/>
        <w:tblLook w:val="04A0" w:firstRow="1" w:lastRow="0" w:firstColumn="1" w:lastColumn="0" w:noHBand="0" w:noVBand="1"/>
      </w:tblPr>
      <w:tblGrid>
        <w:gridCol w:w="9639"/>
      </w:tblGrid>
      <w:tr w:rsidR="00B736E5" w:rsidRPr="00B736E5" w14:paraId="76628594" w14:textId="77777777" w:rsidTr="00B736E5">
        <w:tc>
          <w:tcPr>
            <w:tcW w:w="9639" w:type="dxa"/>
            <w:shd w:val="clear" w:color="auto" w:fill="auto"/>
          </w:tcPr>
          <w:p w14:paraId="6ACABA78" w14:textId="49F7DD0D" w:rsidR="00B736E5" w:rsidRDefault="00B736E5" w:rsidP="002A5758">
            <w:pPr>
              <w:ind w:left="0" w:right="-1"/>
              <w:rPr>
                <w:rFonts w:cs="Segoe UI"/>
                <w:spacing w:val="0"/>
                <w:lang w:val="de-DE"/>
              </w:rPr>
            </w:pPr>
          </w:p>
          <w:p w14:paraId="44E826DF" w14:textId="4932A640" w:rsidR="00FF4C74" w:rsidRPr="00FF4C74" w:rsidRDefault="00FF4C74" w:rsidP="002A5758">
            <w:pPr>
              <w:ind w:left="0" w:right="-1"/>
              <w:rPr>
                <w:rFonts w:cs="Segoe UI"/>
                <w:b/>
                <w:spacing w:val="0"/>
                <w:lang w:val="de-DE"/>
              </w:rPr>
            </w:pPr>
            <w:r w:rsidRPr="00FF4C74">
              <w:rPr>
                <w:rFonts w:cs="Segoe UI"/>
                <w:b/>
                <w:spacing w:val="0"/>
                <w:lang w:val="de-DE"/>
              </w:rPr>
              <w:t>Für den Partner</w:t>
            </w:r>
          </w:p>
          <w:p w14:paraId="3720C156" w14:textId="7EA5E325" w:rsidR="00FF4C74" w:rsidRDefault="00FF4C74" w:rsidP="002A5758">
            <w:pPr>
              <w:ind w:left="0" w:right="-1"/>
              <w:rPr>
                <w:rFonts w:cs="Segoe UI"/>
                <w:spacing w:val="0"/>
                <w:lang w:val="de-DE"/>
              </w:rPr>
            </w:pPr>
          </w:p>
          <w:p w14:paraId="3D07F9A7" w14:textId="4FB392B5" w:rsidR="00FF4C74" w:rsidRDefault="00FF4C74" w:rsidP="002A5758">
            <w:pPr>
              <w:ind w:left="0" w:right="-1"/>
              <w:rPr>
                <w:rFonts w:cs="Segoe UI"/>
                <w:spacing w:val="0"/>
                <w:lang w:val="de-DE"/>
              </w:rPr>
            </w:pPr>
            <w:r w:rsidRPr="00FF4C74">
              <w:rPr>
                <w:rFonts w:cs="Segoe UI"/>
                <w:spacing w:val="0"/>
                <w:highlight w:val="yellow"/>
                <w:lang w:val="de-DE"/>
              </w:rPr>
              <w:t>Ort</w:t>
            </w:r>
            <w:r>
              <w:rPr>
                <w:rFonts w:cs="Segoe UI"/>
                <w:spacing w:val="0"/>
                <w:lang w:val="de-DE"/>
              </w:rPr>
              <w:t>, den</w:t>
            </w:r>
          </w:p>
          <w:p w14:paraId="3F2F078F" w14:textId="0A41C142" w:rsidR="00FF4C74" w:rsidRDefault="00FF4C74" w:rsidP="002A5758">
            <w:pPr>
              <w:ind w:left="0" w:right="-1"/>
              <w:rPr>
                <w:rFonts w:cs="Segoe UI"/>
                <w:spacing w:val="0"/>
                <w:lang w:val="de-DE"/>
              </w:rPr>
            </w:pPr>
          </w:p>
          <w:p w14:paraId="2EEA264D" w14:textId="77777777" w:rsidR="00FF4C74" w:rsidRDefault="00FF4C74" w:rsidP="00FF4C74">
            <w:pPr>
              <w:ind w:left="0" w:right="-1"/>
              <w:rPr>
                <w:rFonts w:cs="Segoe UI"/>
                <w:spacing w:val="0"/>
                <w:lang w:val="de-DE"/>
              </w:rPr>
            </w:pPr>
            <w:r>
              <w:rPr>
                <w:rFonts w:cs="Segoe UI"/>
                <w:spacing w:val="0"/>
                <w:lang w:val="de-DE"/>
              </w:rPr>
              <w:t>___________________________________</w:t>
            </w:r>
          </w:p>
          <w:p w14:paraId="67CC1663" w14:textId="36ECA381" w:rsidR="00FF4C74" w:rsidRPr="00FF4C74" w:rsidRDefault="00FF4C74" w:rsidP="00FF4C74">
            <w:pPr>
              <w:ind w:left="0" w:right="-1"/>
              <w:rPr>
                <w:rFonts w:cs="Segoe UI"/>
                <w:spacing w:val="0"/>
                <w:highlight w:val="yellow"/>
                <w:lang w:val="de-DE"/>
              </w:rPr>
            </w:pPr>
            <w:r w:rsidRPr="00FF4C74">
              <w:rPr>
                <w:rFonts w:cs="Segoe UI"/>
                <w:spacing w:val="0"/>
                <w:highlight w:val="yellow"/>
                <w:lang w:val="de-DE"/>
              </w:rPr>
              <w:t>Name</w:t>
            </w:r>
          </w:p>
          <w:p w14:paraId="2772D535" w14:textId="0564883E" w:rsidR="00FF4C74" w:rsidRDefault="00FF4C74" w:rsidP="00FF4C74">
            <w:pPr>
              <w:ind w:left="0" w:right="-1"/>
              <w:rPr>
                <w:rFonts w:cs="Segoe UI"/>
                <w:spacing w:val="0"/>
                <w:lang w:val="de-DE"/>
              </w:rPr>
            </w:pPr>
            <w:r w:rsidRPr="00FF4C74">
              <w:rPr>
                <w:rFonts w:cs="Segoe UI"/>
                <w:spacing w:val="0"/>
                <w:highlight w:val="yellow"/>
                <w:lang w:val="de-DE"/>
              </w:rPr>
              <w:t>Funktion</w:t>
            </w:r>
          </w:p>
          <w:p w14:paraId="179FBF52" w14:textId="667B650F" w:rsidR="00FF4C74" w:rsidRDefault="00FF4C74" w:rsidP="002A5758">
            <w:pPr>
              <w:ind w:left="0" w:right="-1"/>
              <w:rPr>
                <w:rFonts w:cs="Segoe UI"/>
                <w:spacing w:val="0"/>
                <w:lang w:val="de-DE"/>
              </w:rPr>
            </w:pPr>
          </w:p>
          <w:p w14:paraId="26E0DA1A" w14:textId="1B1BCF45" w:rsidR="00FF4C74" w:rsidRDefault="00FF4C74" w:rsidP="002A5758">
            <w:pPr>
              <w:ind w:left="0" w:right="-1"/>
              <w:rPr>
                <w:rFonts w:cs="Segoe UI"/>
                <w:spacing w:val="0"/>
                <w:lang w:val="de-DE"/>
              </w:rPr>
            </w:pPr>
          </w:p>
          <w:p w14:paraId="14EB49E9" w14:textId="17DBFF88" w:rsidR="00FF4C74" w:rsidRPr="00FF4C74" w:rsidRDefault="00FF4C74" w:rsidP="002A5758">
            <w:pPr>
              <w:ind w:left="0" w:right="-1"/>
              <w:rPr>
                <w:rFonts w:cs="Segoe UI"/>
                <w:b/>
                <w:spacing w:val="0"/>
                <w:lang w:val="de-DE"/>
              </w:rPr>
            </w:pPr>
            <w:r w:rsidRPr="00FF4C74">
              <w:rPr>
                <w:rFonts w:cs="Segoe UI"/>
                <w:b/>
                <w:spacing w:val="0"/>
                <w:lang w:val="de-DE"/>
              </w:rPr>
              <w:t xml:space="preserve">Für die </w:t>
            </w:r>
            <w:r>
              <w:rPr>
                <w:rFonts w:cs="Segoe UI"/>
                <w:b/>
                <w:spacing w:val="0"/>
                <w:lang w:val="de-DE"/>
              </w:rPr>
              <w:t>UdS</w:t>
            </w:r>
          </w:p>
          <w:p w14:paraId="3C6FF761" w14:textId="2E720A13" w:rsidR="00FF4C74" w:rsidRDefault="00FF4C74" w:rsidP="002A5758">
            <w:pPr>
              <w:ind w:left="0" w:right="-1"/>
              <w:rPr>
                <w:rFonts w:cs="Segoe UI"/>
                <w:spacing w:val="0"/>
                <w:lang w:val="de-DE"/>
              </w:rPr>
            </w:pPr>
          </w:p>
          <w:p w14:paraId="67F93977" w14:textId="6AE1633B" w:rsidR="00FF4C74" w:rsidRDefault="00FF4C74" w:rsidP="002A5758">
            <w:pPr>
              <w:ind w:left="0" w:right="-1"/>
              <w:rPr>
                <w:rFonts w:cs="Segoe UI"/>
                <w:spacing w:val="0"/>
                <w:lang w:val="de-DE"/>
              </w:rPr>
            </w:pPr>
            <w:r>
              <w:rPr>
                <w:rFonts w:cs="Segoe UI"/>
                <w:spacing w:val="0"/>
                <w:lang w:val="de-DE"/>
              </w:rPr>
              <w:t xml:space="preserve">Saarbrücken, den </w:t>
            </w:r>
          </w:p>
          <w:p w14:paraId="2FF257AE" w14:textId="7F1A8640" w:rsidR="00FF4C74" w:rsidRDefault="00FF4C74" w:rsidP="002A5758">
            <w:pPr>
              <w:ind w:left="0" w:right="-1"/>
              <w:rPr>
                <w:rFonts w:cs="Segoe UI"/>
                <w:spacing w:val="0"/>
                <w:lang w:val="de-DE"/>
              </w:rPr>
            </w:pPr>
          </w:p>
          <w:p w14:paraId="379D2F80" w14:textId="78E81341" w:rsidR="00FF4C74" w:rsidRDefault="00FF4C74" w:rsidP="002A5758">
            <w:pPr>
              <w:ind w:left="0" w:right="-1"/>
              <w:rPr>
                <w:rFonts w:cs="Segoe UI"/>
                <w:spacing w:val="0"/>
                <w:lang w:val="de-DE"/>
              </w:rPr>
            </w:pPr>
            <w:r>
              <w:rPr>
                <w:rFonts w:cs="Segoe UI"/>
                <w:spacing w:val="0"/>
                <w:lang w:val="de-DE"/>
              </w:rPr>
              <w:t>___________________________________</w:t>
            </w:r>
          </w:p>
          <w:p w14:paraId="7CEB08B3" w14:textId="46A18EAA" w:rsidR="00B64AC4" w:rsidRDefault="00B64AC4" w:rsidP="002A5758">
            <w:pPr>
              <w:ind w:left="0" w:right="-1"/>
              <w:rPr>
                <w:rFonts w:cs="Segoe UI"/>
                <w:spacing w:val="0"/>
                <w:lang w:val="de-DE"/>
              </w:rPr>
            </w:pPr>
            <w:r w:rsidRPr="00B64AC4">
              <w:rPr>
                <w:rFonts w:cs="Segoe UI"/>
                <w:spacing w:val="0"/>
                <w:lang w:val="de-DE"/>
              </w:rPr>
              <w:t xml:space="preserve">Prof. Dr. </w:t>
            </w:r>
            <w:r w:rsidR="00EC6DD8">
              <w:rPr>
                <w:rFonts w:cs="Segoe UI"/>
                <w:spacing w:val="0"/>
                <w:lang w:val="de-DE"/>
              </w:rPr>
              <w:t>Robert Ernst</w:t>
            </w:r>
          </w:p>
          <w:p w14:paraId="11E31447" w14:textId="15144F8D" w:rsidR="00FF4C74" w:rsidRDefault="00FF4C74" w:rsidP="002A5758">
            <w:pPr>
              <w:ind w:left="0" w:right="-1"/>
              <w:rPr>
                <w:rFonts w:cs="Segoe UI"/>
                <w:spacing w:val="0"/>
                <w:lang w:val="de-DE"/>
              </w:rPr>
            </w:pPr>
            <w:r>
              <w:rPr>
                <w:rFonts w:cs="Segoe UI"/>
                <w:spacing w:val="0"/>
                <w:lang w:val="de-DE"/>
              </w:rPr>
              <w:t>Vizepräsident für Forschung</w:t>
            </w:r>
            <w:r w:rsidR="00EC6DD8">
              <w:rPr>
                <w:rFonts w:cs="Segoe UI"/>
                <w:spacing w:val="0"/>
                <w:lang w:val="de-DE"/>
              </w:rPr>
              <w:t xml:space="preserve"> und</w:t>
            </w:r>
          </w:p>
          <w:p w14:paraId="473C8753" w14:textId="65D34F8B" w:rsidR="00EC6DD8" w:rsidRDefault="00EC6DD8" w:rsidP="002A5758">
            <w:pPr>
              <w:ind w:left="0" w:right="-1"/>
              <w:rPr>
                <w:rFonts w:cs="Segoe UI"/>
                <w:spacing w:val="0"/>
                <w:lang w:val="de-DE"/>
              </w:rPr>
            </w:pPr>
            <w:r>
              <w:rPr>
                <w:rFonts w:cs="Segoe UI"/>
                <w:spacing w:val="0"/>
                <w:lang w:val="de-DE"/>
              </w:rPr>
              <w:t>g</w:t>
            </w:r>
            <w:bookmarkStart w:id="0" w:name="_GoBack"/>
            <w:bookmarkEnd w:id="0"/>
            <w:r>
              <w:rPr>
                <w:rFonts w:cs="Segoe UI"/>
                <w:spacing w:val="0"/>
                <w:lang w:val="de-DE"/>
              </w:rPr>
              <w:t>esellschaftliche Verantwortung</w:t>
            </w:r>
          </w:p>
          <w:p w14:paraId="7B9146BA" w14:textId="0F533F3D" w:rsidR="00FF4C74" w:rsidRDefault="00FF4C74" w:rsidP="002A5758">
            <w:pPr>
              <w:ind w:left="0" w:right="-1"/>
              <w:rPr>
                <w:rFonts w:cs="Segoe UI"/>
                <w:spacing w:val="0"/>
                <w:lang w:val="de-DE"/>
              </w:rPr>
            </w:pPr>
          </w:p>
          <w:p w14:paraId="08341306" w14:textId="25DD9FF8" w:rsidR="00FF4C74" w:rsidRDefault="008676AD" w:rsidP="002A5758">
            <w:pPr>
              <w:ind w:left="0" w:right="-1"/>
              <w:rPr>
                <w:rFonts w:cs="Segoe UI"/>
                <w:spacing w:val="0"/>
                <w:lang w:val="de-DE"/>
              </w:rPr>
            </w:pPr>
            <w:r>
              <w:rPr>
                <w:rFonts w:cs="Segoe UI"/>
                <w:spacing w:val="0"/>
                <w:lang w:val="de-DE"/>
              </w:rPr>
              <w:t>Gelesen und verstanden</w:t>
            </w:r>
            <w:r w:rsidR="00FF4C74">
              <w:rPr>
                <w:rFonts w:cs="Segoe UI"/>
                <w:spacing w:val="0"/>
                <w:lang w:val="de-DE"/>
              </w:rPr>
              <w:t>:</w:t>
            </w:r>
          </w:p>
          <w:p w14:paraId="532F8731" w14:textId="77777777" w:rsidR="00007AE0" w:rsidRDefault="00007AE0" w:rsidP="002A5758">
            <w:pPr>
              <w:ind w:left="0" w:right="-1"/>
              <w:rPr>
                <w:rFonts w:cs="Segoe UI"/>
                <w:spacing w:val="0"/>
                <w:lang w:val="de-DE"/>
              </w:rPr>
            </w:pPr>
          </w:p>
          <w:p w14:paraId="7C2516FB" w14:textId="3139F872" w:rsidR="00FF4C74" w:rsidRDefault="00FF4C74" w:rsidP="002A5758">
            <w:pPr>
              <w:ind w:left="0" w:right="-1"/>
              <w:rPr>
                <w:rFonts w:cs="Segoe UI"/>
                <w:spacing w:val="0"/>
                <w:lang w:val="de-DE"/>
              </w:rPr>
            </w:pPr>
            <w:r w:rsidRPr="00FF4C74">
              <w:rPr>
                <w:rFonts w:cs="Segoe UI"/>
                <w:spacing w:val="0"/>
                <w:highlight w:val="yellow"/>
                <w:lang w:val="de-DE"/>
              </w:rPr>
              <w:t>Saarbrücken/Homburg</w:t>
            </w:r>
            <w:r>
              <w:rPr>
                <w:rFonts w:cs="Segoe UI"/>
                <w:spacing w:val="0"/>
                <w:lang w:val="de-DE"/>
              </w:rPr>
              <w:t>, den</w:t>
            </w:r>
          </w:p>
          <w:p w14:paraId="064E80D5" w14:textId="0CB12587" w:rsidR="00FF4C74" w:rsidRDefault="00FF4C74" w:rsidP="002A5758">
            <w:pPr>
              <w:ind w:left="0" w:right="-1"/>
              <w:rPr>
                <w:rFonts w:cs="Segoe UI"/>
                <w:spacing w:val="0"/>
                <w:lang w:val="de-DE"/>
              </w:rPr>
            </w:pPr>
          </w:p>
          <w:p w14:paraId="44A368C0" w14:textId="77777777" w:rsidR="00FF4C74" w:rsidRDefault="00FF4C74" w:rsidP="00FF4C74">
            <w:pPr>
              <w:ind w:left="0" w:right="-1"/>
              <w:rPr>
                <w:rFonts w:cs="Segoe UI"/>
                <w:spacing w:val="0"/>
                <w:lang w:val="de-DE"/>
              </w:rPr>
            </w:pPr>
            <w:r>
              <w:rPr>
                <w:rFonts w:cs="Segoe UI"/>
                <w:spacing w:val="0"/>
                <w:lang w:val="de-DE"/>
              </w:rPr>
              <w:t>___________________________________</w:t>
            </w:r>
          </w:p>
          <w:p w14:paraId="2A29BA2E" w14:textId="77777777" w:rsidR="00FF4C74" w:rsidRPr="008F60D5" w:rsidRDefault="00FF4C74" w:rsidP="00FF4C74">
            <w:pPr>
              <w:ind w:left="0" w:right="-1"/>
              <w:rPr>
                <w:rFonts w:cs="Segoe UI"/>
                <w:spacing w:val="0"/>
                <w:lang w:val="de-DE"/>
              </w:rPr>
            </w:pPr>
            <w:r w:rsidRPr="008F60D5">
              <w:rPr>
                <w:rFonts w:cs="Segoe UI"/>
                <w:spacing w:val="0"/>
                <w:highlight w:val="yellow"/>
                <w:lang w:val="de-DE"/>
              </w:rPr>
              <w:t>[…]</w:t>
            </w:r>
          </w:p>
          <w:p w14:paraId="4DC6CFED" w14:textId="370FFA4D" w:rsidR="00FF4C74" w:rsidRPr="00B736E5" w:rsidRDefault="00FF4C74" w:rsidP="002A5758">
            <w:pPr>
              <w:ind w:left="0" w:right="-1"/>
              <w:rPr>
                <w:rFonts w:cs="Segoe UI"/>
                <w:spacing w:val="0"/>
                <w:lang w:val="de-DE"/>
              </w:rPr>
            </w:pPr>
            <w:r w:rsidRPr="00007AE0">
              <w:rPr>
                <w:rFonts w:cs="Segoe UI"/>
                <w:spacing w:val="0"/>
                <w:highlight w:val="yellow"/>
                <w:lang w:val="de-DE"/>
              </w:rPr>
              <w:t>Projektleiter/in</w:t>
            </w:r>
          </w:p>
          <w:p w14:paraId="7E6085DA" w14:textId="77777777" w:rsidR="00B736E5" w:rsidRPr="00B736E5" w:rsidRDefault="00B736E5" w:rsidP="002A5758">
            <w:pPr>
              <w:ind w:left="0" w:right="-1"/>
              <w:rPr>
                <w:rFonts w:cs="Segoe UI"/>
                <w:spacing w:val="0"/>
                <w:sz w:val="14"/>
                <w:lang w:val="de-DE"/>
              </w:rPr>
            </w:pPr>
          </w:p>
        </w:tc>
      </w:tr>
    </w:tbl>
    <w:p w14:paraId="5B217D0B" w14:textId="77777777" w:rsidR="007F3DE0" w:rsidRPr="00597F92" w:rsidRDefault="007F3DE0" w:rsidP="00B23668">
      <w:pPr>
        <w:ind w:left="0" w:right="-1"/>
        <w:rPr>
          <w:rFonts w:cs="Segoe UI"/>
          <w:lang w:val="de-DE"/>
        </w:rPr>
      </w:pPr>
    </w:p>
    <w:sectPr w:rsidR="007F3DE0" w:rsidRPr="00597F92" w:rsidSect="008B3F08">
      <w:headerReference w:type="default" r:id="rId8"/>
      <w:footerReference w:type="default" r:id="rId9"/>
      <w:pgSz w:w="11907" w:h="16840" w:code="9"/>
      <w:pgMar w:top="-1418" w:right="1418" w:bottom="1418" w:left="1418" w:header="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BF1EB" w14:textId="77777777" w:rsidR="00894ED9" w:rsidRDefault="00894ED9">
      <w:r>
        <w:separator/>
      </w:r>
    </w:p>
  </w:endnote>
  <w:endnote w:type="continuationSeparator" w:id="0">
    <w:p w14:paraId="2C950DF1" w14:textId="77777777" w:rsidR="00894ED9" w:rsidRDefault="0089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E515B" w14:textId="77777777" w:rsidR="00326EF7" w:rsidRDefault="00326EF7" w:rsidP="0008263E">
    <w:pPr>
      <w:pStyle w:val="Fuzeile"/>
      <w:ind w:right="-1"/>
      <w:jc w:val="center"/>
    </w:pPr>
    <w:r>
      <w:fldChar w:fldCharType="begin"/>
    </w:r>
    <w:r>
      <w:instrText>PAGE   \* MERGEFORMAT</w:instrText>
    </w:r>
    <w:r>
      <w:fldChar w:fldCharType="separate"/>
    </w:r>
    <w:r w:rsidR="0008263E" w:rsidRPr="0008263E">
      <w:rPr>
        <w:noProof/>
        <w:lang w:val="de-DE"/>
      </w:rPr>
      <w:t>1</w:t>
    </w:r>
    <w:r>
      <w:fldChar w:fldCharType="end"/>
    </w:r>
    <w:r w:rsidR="0008263E">
      <w:t xml:space="preserve"> / </w:t>
    </w:r>
    <w:r w:rsidR="00EC6DD8">
      <w:rPr>
        <w:noProof/>
      </w:rPr>
      <w:fldChar w:fldCharType="begin"/>
    </w:r>
    <w:r w:rsidR="00EC6DD8">
      <w:rPr>
        <w:noProof/>
      </w:rPr>
      <w:instrText xml:space="preserve"> NUMPAGES   \* MERGEFORMAT </w:instrText>
    </w:r>
    <w:r w:rsidR="00EC6DD8">
      <w:rPr>
        <w:noProof/>
      </w:rPr>
      <w:fldChar w:fldCharType="separate"/>
    </w:r>
    <w:r w:rsidR="0008263E">
      <w:rPr>
        <w:noProof/>
      </w:rPr>
      <w:t>6</w:t>
    </w:r>
    <w:r w:rsidR="00EC6DD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89F79" w14:textId="77777777" w:rsidR="00894ED9" w:rsidRDefault="00894ED9">
      <w:r>
        <w:separator/>
      </w:r>
    </w:p>
  </w:footnote>
  <w:footnote w:type="continuationSeparator" w:id="0">
    <w:p w14:paraId="476F9653" w14:textId="77777777" w:rsidR="00894ED9" w:rsidRDefault="00894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3F71" w14:textId="77777777" w:rsidR="00326EF7" w:rsidRDefault="00326EF7" w:rsidP="008B3F08">
    <w:pPr>
      <w:pStyle w:val="Kopfzeile"/>
      <w:tabs>
        <w:tab w:val="left" w:pos="7513"/>
      </w:tabs>
      <w:spacing w:before="1200" w:after="480"/>
      <w:jc w:val="center"/>
      <w:rPr>
        <w:sz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7481"/>
    <w:multiLevelType w:val="hybridMultilevel"/>
    <w:tmpl w:val="F65CCA72"/>
    <w:lvl w:ilvl="0" w:tplc="5C104BE4">
      <w:start w:val="1"/>
      <w:numFmt w:val="bullet"/>
      <w:pStyle w:val="Liste"/>
      <w:lvlText w:val=""/>
      <w:lvlJc w:val="left"/>
      <w:pPr>
        <w:tabs>
          <w:tab w:val="num" w:pos="927"/>
        </w:tabs>
        <w:ind w:left="907" w:hanging="340"/>
      </w:pPr>
      <w:rPr>
        <w:rFonts w:ascii="Symbol" w:hAnsi="Symbol" w:hint="default"/>
      </w:rPr>
    </w:lvl>
    <w:lvl w:ilvl="1" w:tplc="A290E378">
      <w:start w:val="1"/>
      <w:numFmt w:val="bullet"/>
      <w:pStyle w:val="Liste"/>
      <w:lvlText w:val=""/>
      <w:lvlJc w:val="left"/>
      <w:pPr>
        <w:tabs>
          <w:tab w:val="num" w:pos="1528"/>
        </w:tabs>
        <w:ind w:left="1304" w:hanging="136"/>
      </w:pPr>
      <w:rPr>
        <w:rFonts w:ascii="Symbol" w:hAnsi="Symbol" w:hint="default"/>
      </w:rPr>
    </w:lvl>
    <w:lvl w:ilvl="2" w:tplc="04070005" w:tentative="1">
      <w:start w:val="1"/>
      <w:numFmt w:val="bullet"/>
      <w:lvlText w:val=""/>
      <w:lvlJc w:val="left"/>
      <w:pPr>
        <w:tabs>
          <w:tab w:val="num" w:pos="3329"/>
        </w:tabs>
        <w:ind w:left="3329" w:hanging="360"/>
      </w:pPr>
      <w:rPr>
        <w:rFonts w:ascii="Wingdings" w:hAnsi="Wingdings" w:hint="default"/>
      </w:rPr>
    </w:lvl>
    <w:lvl w:ilvl="3" w:tplc="04070001" w:tentative="1">
      <w:start w:val="1"/>
      <w:numFmt w:val="bullet"/>
      <w:lvlText w:val=""/>
      <w:lvlJc w:val="left"/>
      <w:pPr>
        <w:tabs>
          <w:tab w:val="num" w:pos="4049"/>
        </w:tabs>
        <w:ind w:left="4049" w:hanging="360"/>
      </w:pPr>
      <w:rPr>
        <w:rFonts w:ascii="Symbol" w:hAnsi="Symbol" w:hint="default"/>
      </w:rPr>
    </w:lvl>
    <w:lvl w:ilvl="4" w:tplc="04070003" w:tentative="1">
      <w:start w:val="1"/>
      <w:numFmt w:val="bullet"/>
      <w:lvlText w:val="o"/>
      <w:lvlJc w:val="left"/>
      <w:pPr>
        <w:tabs>
          <w:tab w:val="num" w:pos="4769"/>
        </w:tabs>
        <w:ind w:left="4769" w:hanging="360"/>
      </w:pPr>
      <w:rPr>
        <w:rFonts w:ascii="Courier New" w:hAnsi="Courier New" w:hint="default"/>
      </w:rPr>
    </w:lvl>
    <w:lvl w:ilvl="5" w:tplc="04070005" w:tentative="1">
      <w:start w:val="1"/>
      <w:numFmt w:val="bullet"/>
      <w:lvlText w:val=""/>
      <w:lvlJc w:val="left"/>
      <w:pPr>
        <w:tabs>
          <w:tab w:val="num" w:pos="5489"/>
        </w:tabs>
        <w:ind w:left="5489" w:hanging="360"/>
      </w:pPr>
      <w:rPr>
        <w:rFonts w:ascii="Wingdings" w:hAnsi="Wingdings" w:hint="default"/>
      </w:rPr>
    </w:lvl>
    <w:lvl w:ilvl="6" w:tplc="04070001" w:tentative="1">
      <w:start w:val="1"/>
      <w:numFmt w:val="bullet"/>
      <w:lvlText w:val=""/>
      <w:lvlJc w:val="left"/>
      <w:pPr>
        <w:tabs>
          <w:tab w:val="num" w:pos="6209"/>
        </w:tabs>
        <w:ind w:left="6209" w:hanging="360"/>
      </w:pPr>
      <w:rPr>
        <w:rFonts w:ascii="Symbol" w:hAnsi="Symbol" w:hint="default"/>
      </w:rPr>
    </w:lvl>
    <w:lvl w:ilvl="7" w:tplc="04070003" w:tentative="1">
      <w:start w:val="1"/>
      <w:numFmt w:val="bullet"/>
      <w:lvlText w:val="o"/>
      <w:lvlJc w:val="left"/>
      <w:pPr>
        <w:tabs>
          <w:tab w:val="num" w:pos="6929"/>
        </w:tabs>
        <w:ind w:left="6929" w:hanging="360"/>
      </w:pPr>
      <w:rPr>
        <w:rFonts w:ascii="Courier New" w:hAnsi="Courier New" w:hint="default"/>
      </w:rPr>
    </w:lvl>
    <w:lvl w:ilvl="8" w:tplc="04070005" w:tentative="1">
      <w:start w:val="1"/>
      <w:numFmt w:val="bullet"/>
      <w:lvlText w:val=""/>
      <w:lvlJc w:val="left"/>
      <w:pPr>
        <w:tabs>
          <w:tab w:val="num" w:pos="7649"/>
        </w:tabs>
        <w:ind w:left="7649" w:hanging="360"/>
      </w:pPr>
      <w:rPr>
        <w:rFonts w:ascii="Wingdings" w:hAnsi="Wingdings" w:hint="default"/>
      </w:rPr>
    </w:lvl>
  </w:abstractNum>
  <w:abstractNum w:abstractNumId="1" w15:restartNumberingAfterBreak="0">
    <w:nsid w:val="0CC92891"/>
    <w:multiLevelType w:val="multilevel"/>
    <w:tmpl w:val="33BABEF4"/>
    <w:lvl w:ilvl="0">
      <w:start w:val="1"/>
      <w:numFmt w:val="decimal"/>
      <w:lvlText w:val="%1"/>
      <w:lvlJc w:val="left"/>
      <w:pPr>
        <w:tabs>
          <w:tab w:val="num" w:pos="1134"/>
        </w:tabs>
        <w:ind w:left="1134" w:hanging="567"/>
      </w:pPr>
      <w:rPr>
        <w:rFonts w:hint="default"/>
      </w:rPr>
    </w:lvl>
    <w:lvl w:ilvl="1">
      <w:start w:val="1"/>
      <w:numFmt w:val="decimal"/>
      <w:pStyle w:val="TextURatverborgen"/>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 w15:restartNumberingAfterBreak="0">
    <w:nsid w:val="0FD51B78"/>
    <w:multiLevelType w:val="hybridMultilevel"/>
    <w:tmpl w:val="1D26B23A"/>
    <w:lvl w:ilvl="0" w:tplc="6336A3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37654"/>
    <w:multiLevelType w:val="hybridMultilevel"/>
    <w:tmpl w:val="3EB4FD64"/>
    <w:lvl w:ilvl="0" w:tplc="8E98EE00">
      <w:start w:val="4"/>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0290F"/>
    <w:multiLevelType w:val="hybridMultilevel"/>
    <w:tmpl w:val="E3D8652C"/>
    <w:lvl w:ilvl="0" w:tplc="76A055E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0012D"/>
    <w:multiLevelType w:val="hybridMultilevel"/>
    <w:tmpl w:val="C3567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37C46"/>
    <w:multiLevelType w:val="hybridMultilevel"/>
    <w:tmpl w:val="95008A88"/>
    <w:lvl w:ilvl="0" w:tplc="7CB001C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C81E5F"/>
    <w:multiLevelType w:val="hybridMultilevel"/>
    <w:tmpl w:val="61D810FC"/>
    <w:lvl w:ilvl="0" w:tplc="41EC8F42">
      <w:numFmt w:val="bullet"/>
      <w:lvlText w:val="-"/>
      <w:lvlJc w:val="left"/>
      <w:pPr>
        <w:ind w:left="136" w:hanging="360"/>
      </w:pPr>
      <w:rPr>
        <w:rFonts w:ascii="Segoe UI" w:eastAsia="Times New Roman" w:hAnsi="Segoe UI" w:cs="Segoe UI" w:hint="default"/>
      </w:rPr>
    </w:lvl>
    <w:lvl w:ilvl="1" w:tplc="04090003" w:tentative="1">
      <w:start w:val="1"/>
      <w:numFmt w:val="bullet"/>
      <w:lvlText w:val="o"/>
      <w:lvlJc w:val="left"/>
      <w:pPr>
        <w:ind w:left="856" w:hanging="360"/>
      </w:pPr>
      <w:rPr>
        <w:rFonts w:ascii="Courier New" w:hAnsi="Courier New" w:cs="Courier New" w:hint="default"/>
      </w:rPr>
    </w:lvl>
    <w:lvl w:ilvl="2" w:tplc="04090005" w:tentative="1">
      <w:start w:val="1"/>
      <w:numFmt w:val="bullet"/>
      <w:lvlText w:val=""/>
      <w:lvlJc w:val="left"/>
      <w:pPr>
        <w:ind w:left="1576" w:hanging="360"/>
      </w:pPr>
      <w:rPr>
        <w:rFonts w:ascii="Wingdings" w:hAnsi="Wingdings" w:hint="default"/>
      </w:rPr>
    </w:lvl>
    <w:lvl w:ilvl="3" w:tplc="04090001" w:tentative="1">
      <w:start w:val="1"/>
      <w:numFmt w:val="bullet"/>
      <w:lvlText w:val=""/>
      <w:lvlJc w:val="left"/>
      <w:pPr>
        <w:ind w:left="2296" w:hanging="360"/>
      </w:pPr>
      <w:rPr>
        <w:rFonts w:ascii="Symbol" w:hAnsi="Symbol" w:hint="default"/>
      </w:rPr>
    </w:lvl>
    <w:lvl w:ilvl="4" w:tplc="04090003" w:tentative="1">
      <w:start w:val="1"/>
      <w:numFmt w:val="bullet"/>
      <w:lvlText w:val="o"/>
      <w:lvlJc w:val="left"/>
      <w:pPr>
        <w:ind w:left="3016" w:hanging="360"/>
      </w:pPr>
      <w:rPr>
        <w:rFonts w:ascii="Courier New" w:hAnsi="Courier New" w:cs="Courier New" w:hint="default"/>
      </w:rPr>
    </w:lvl>
    <w:lvl w:ilvl="5" w:tplc="04090005" w:tentative="1">
      <w:start w:val="1"/>
      <w:numFmt w:val="bullet"/>
      <w:lvlText w:val=""/>
      <w:lvlJc w:val="left"/>
      <w:pPr>
        <w:ind w:left="3736" w:hanging="360"/>
      </w:pPr>
      <w:rPr>
        <w:rFonts w:ascii="Wingdings" w:hAnsi="Wingdings" w:hint="default"/>
      </w:rPr>
    </w:lvl>
    <w:lvl w:ilvl="6" w:tplc="04090001" w:tentative="1">
      <w:start w:val="1"/>
      <w:numFmt w:val="bullet"/>
      <w:lvlText w:val=""/>
      <w:lvlJc w:val="left"/>
      <w:pPr>
        <w:ind w:left="4456" w:hanging="360"/>
      </w:pPr>
      <w:rPr>
        <w:rFonts w:ascii="Symbol" w:hAnsi="Symbol" w:hint="default"/>
      </w:rPr>
    </w:lvl>
    <w:lvl w:ilvl="7" w:tplc="04090003" w:tentative="1">
      <w:start w:val="1"/>
      <w:numFmt w:val="bullet"/>
      <w:lvlText w:val="o"/>
      <w:lvlJc w:val="left"/>
      <w:pPr>
        <w:ind w:left="5176" w:hanging="360"/>
      </w:pPr>
      <w:rPr>
        <w:rFonts w:ascii="Courier New" w:hAnsi="Courier New" w:cs="Courier New" w:hint="default"/>
      </w:rPr>
    </w:lvl>
    <w:lvl w:ilvl="8" w:tplc="04090005" w:tentative="1">
      <w:start w:val="1"/>
      <w:numFmt w:val="bullet"/>
      <w:lvlText w:val=""/>
      <w:lvlJc w:val="left"/>
      <w:pPr>
        <w:ind w:left="5896" w:hanging="360"/>
      </w:pPr>
      <w:rPr>
        <w:rFonts w:ascii="Wingdings" w:hAnsi="Wingdings" w:hint="default"/>
      </w:rPr>
    </w:lvl>
  </w:abstractNum>
  <w:abstractNum w:abstractNumId="8" w15:restartNumberingAfterBreak="0">
    <w:nsid w:val="3C0A1C01"/>
    <w:multiLevelType w:val="hybridMultilevel"/>
    <w:tmpl w:val="F8F0C88C"/>
    <w:lvl w:ilvl="0" w:tplc="E0941702">
      <w:start w:val="10"/>
      <w:numFmt w:val="bullet"/>
      <w:lvlText w:val="-"/>
      <w:lvlJc w:val="left"/>
      <w:pPr>
        <w:ind w:left="136" w:hanging="360"/>
      </w:pPr>
      <w:rPr>
        <w:rFonts w:ascii="Segoe UI" w:eastAsia="Times New Roman" w:hAnsi="Segoe UI" w:cs="Segoe UI" w:hint="default"/>
      </w:rPr>
    </w:lvl>
    <w:lvl w:ilvl="1" w:tplc="04070003" w:tentative="1">
      <w:start w:val="1"/>
      <w:numFmt w:val="bullet"/>
      <w:lvlText w:val="o"/>
      <w:lvlJc w:val="left"/>
      <w:pPr>
        <w:ind w:left="856" w:hanging="360"/>
      </w:pPr>
      <w:rPr>
        <w:rFonts w:ascii="Courier New" w:hAnsi="Courier New" w:cs="Courier New" w:hint="default"/>
      </w:rPr>
    </w:lvl>
    <w:lvl w:ilvl="2" w:tplc="04070005" w:tentative="1">
      <w:start w:val="1"/>
      <w:numFmt w:val="bullet"/>
      <w:lvlText w:val=""/>
      <w:lvlJc w:val="left"/>
      <w:pPr>
        <w:ind w:left="1576" w:hanging="360"/>
      </w:pPr>
      <w:rPr>
        <w:rFonts w:ascii="Wingdings" w:hAnsi="Wingdings" w:hint="default"/>
      </w:rPr>
    </w:lvl>
    <w:lvl w:ilvl="3" w:tplc="04070001" w:tentative="1">
      <w:start w:val="1"/>
      <w:numFmt w:val="bullet"/>
      <w:lvlText w:val=""/>
      <w:lvlJc w:val="left"/>
      <w:pPr>
        <w:ind w:left="2296" w:hanging="360"/>
      </w:pPr>
      <w:rPr>
        <w:rFonts w:ascii="Symbol" w:hAnsi="Symbol" w:hint="default"/>
      </w:rPr>
    </w:lvl>
    <w:lvl w:ilvl="4" w:tplc="04070003" w:tentative="1">
      <w:start w:val="1"/>
      <w:numFmt w:val="bullet"/>
      <w:lvlText w:val="o"/>
      <w:lvlJc w:val="left"/>
      <w:pPr>
        <w:ind w:left="3016" w:hanging="360"/>
      </w:pPr>
      <w:rPr>
        <w:rFonts w:ascii="Courier New" w:hAnsi="Courier New" w:cs="Courier New" w:hint="default"/>
      </w:rPr>
    </w:lvl>
    <w:lvl w:ilvl="5" w:tplc="04070005" w:tentative="1">
      <w:start w:val="1"/>
      <w:numFmt w:val="bullet"/>
      <w:lvlText w:val=""/>
      <w:lvlJc w:val="left"/>
      <w:pPr>
        <w:ind w:left="3736" w:hanging="360"/>
      </w:pPr>
      <w:rPr>
        <w:rFonts w:ascii="Wingdings" w:hAnsi="Wingdings" w:hint="default"/>
      </w:rPr>
    </w:lvl>
    <w:lvl w:ilvl="6" w:tplc="04070001" w:tentative="1">
      <w:start w:val="1"/>
      <w:numFmt w:val="bullet"/>
      <w:lvlText w:val=""/>
      <w:lvlJc w:val="left"/>
      <w:pPr>
        <w:ind w:left="4456" w:hanging="360"/>
      </w:pPr>
      <w:rPr>
        <w:rFonts w:ascii="Symbol" w:hAnsi="Symbol" w:hint="default"/>
      </w:rPr>
    </w:lvl>
    <w:lvl w:ilvl="7" w:tplc="04070003" w:tentative="1">
      <w:start w:val="1"/>
      <w:numFmt w:val="bullet"/>
      <w:lvlText w:val="o"/>
      <w:lvlJc w:val="left"/>
      <w:pPr>
        <w:ind w:left="5176" w:hanging="360"/>
      </w:pPr>
      <w:rPr>
        <w:rFonts w:ascii="Courier New" w:hAnsi="Courier New" w:cs="Courier New" w:hint="default"/>
      </w:rPr>
    </w:lvl>
    <w:lvl w:ilvl="8" w:tplc="04070005" w:tentative="1">
      <w:start w:val="1"/>
      <w:numFmt w:val="bullet"/>
      <w:lvlText w:val=""/>
      <w:lvlJc w:val="left"/>
      <w:pPr>
        <w:ind w:left="5896" w:hanging="360"/>
      </w:pPr>
      <w:rPr>
        <w:rFonts w:ascii="Wingdings" w:hAnsi="Wingdings" w:hint="default"/>
      </w:rPr>
    </w:lvl>
  </w:abstractNum>
  <w:abstractNum w:abstractNumId="9" w15:restartNumberingAfterBreak="0">
    <w:nsid w:val="3D9075CA"/>
    <w:multiLevelType w:val="hybridMultilevel"/>
    <w:tmpl w:val="51D02FC0"/>
    <w:lvl w:ilvl="0" w:tplc="EB908E72">
      <w:numFmt w:val="bullet"/>
      <w:lvlText w:val="-"/>
      <w:lvlJc w:val="left"/>
      <w:pPr>
        <w:ind w:left="76" w:hanging="360"/>
      </w:pPr>
      <w:rPr>
        <w:rFonts w:ascii="Segoe UI" w:eastAsia="Times New Roman" w:hAnsi="Segoe UI" w:cs="Segoe UI"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10" w15:restartNumberingAfterBreak="0">
    <w:nsid w:val="3EE16FD6"/>
    <w:multiLevelType w:val="hybridMultilevel"/>
    <w:tmpl w:val="ABE60B30"/>
    <w:lvl w:ilvl="0" w:tplc="006465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6B35AA"/>
    <w:multiLevelType w:val="hybridMultilevel"/>
    <w:tmpl w:val="E5A45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95B25"/>
    <w:multiLevelType w:val="hybridMultilevel"/>
    <w:tmpl w:val="A40495B8"/>
    <w:lvl w:ilvl="0" w:tplc="E9AE61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7B3B23"/>
    <w:multiLevelType w:val="hybridMultilevel"/>
    <w:tmpl w:val="F36E5C2C"/>
    <w:lvl w:ilvl="0" w:tplc="EC4CC4C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30C33"/>
    <w:multiLevelType w:val="hybridMultilevel"/>
    <w:tmpl w:val="4B5EBD88"/>
    <w:lvl w:ilvl="0" w:tplc="E550B4F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319D5"/>
    <w:multiLevelType w:val="multilevel"/>
    <w:tmpl w:val="0A8CF05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15:restartNumberingAfterBreak="0">
    <w:nsid w:val="60766CDC"/>
    <w:multiLevelType w:val="hybridMultilevel"/>
    <w:tmpl w:val="0E5AE1EA"/>
    <w:lvl w:ilvl="0" w:tplc="894A3DA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DD67D7"/>
    <w:multiLevelType w:val="hybridMultilevel"/>
    <w:tmpl w:val="3AE03160"/>
    <w:lvl w:ilvl="0" w:tplc="EA2E7AD2">
      <w:start w:val="5"/>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195C7D"/>
    <w:multiLevelType w:val="hybridMultilevel"/>
    <w:tmpl w:val="F358FA2A"/>
    <w:lvl w:ilvl="0" w:tplc="8AA2CB52">
      <w:start w:val="1"/>
      <w:numFmt w:val="decimal"/>
      <w:pStyle w:val="Textkrper-Einzug3"/>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3723248"/>
    <w:multiLevelType w:val="hybridMultilevel"/>
    <w:tmpl w:val="72F0F916"/>
    <w:lvl w:ilvl="0" w:tplc="16E2470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B499C"/>
    <w:multiLevelType w:val="hybridMultilevel"/>
    <w:tmpl w:val="72D6F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252994"/>
    <w:multiLevelType w:val="multilevel"/>
    <w:tmpl w:val="14767A22"/>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7415A3C"/>
    <w:multiLevelType w:val="hybridMultilevel"/>
    <w:tmpl w:val="D1C069CA"/>
    <w:lvl w:ilvl="0" w:tplc="5A5E32F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6E54C7"/>
    <w:multiLevelType w:val="hybridMultilevel"/>
    <w:tmpl w:val="5A68D0AC"/>
    <w:lvl w:ilvl="0" w:tplc="6082E9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
  </w:num>
  <w:num w:numId="3">
    <w:abstractNumId w:val="21"/>
  </w:num>
  <w:num w:numId="4">
    <w:abstractNumId w:val="0"/>
  </w:num>
  <w:num w:numId="5">
    <w:abstractNumId w:val="9"/>
  </w:num>
  <w:num w:numId="6">
    <w:abstractNumId w:val="8"/>
  </w:num>
  <w:num w:numId="7">
    <w:abstractNumId w:val="15"/>
  </w:num>
  <w:num w:numId="8">
    <w:abstractNumId w:val="7"/>
  </w:num>
  <w:num w:numId="9">
    <w:abstractNumId w:val="20"/>
  </w:num>
  <w:num w:numId="10">
    <w:abstractNumId w:val="5"/>
  </w:num>
  <w:num w:numId="11">
    <w:abstractNumId w:val="11"/>
  </w:num>
  <w:num w:numId="12">
    <w:abstractNumId w:val="2"/>
  </w:num>
  <w:num w:numId="13">
    <w:abstractNumId w:val="19"/>
  </w:num>
  <w:num w:numId="14">
    <w:abstractNumId w:val="13"/>
  </w:num>
  <w:num w:numId="15">
    <w:abstractNumId w:val="14"/>
  </w:num>
  <w:num w:numId="16">
    <w:abstractNumId w:val="12"/>
  </w:num>
  <w:num w:numId="17">
    <w:abstractNumId w:val="22"/>
  </w:num>
  <w:num w:numId="18">
    <w:abstractNumId w:val="16"/>
  </w:num>
  <w:num w:numId="19">
    <w:abstractNumId w:val="23"/>
  </w:num>
  <w:num w:numId="20">
    <w:abstractNumId w:val="6"/>
  </w:num>
  <w:num w:numId="21">
    <w:abstractNumId w:val="3"/>
  </w:num>
  <w:num w:numId="22">
    <w:abstractNumId w:val="17"/>
  </w:num>
  <w:num w:numId="23">
    <w:abstractNumId w:val="4"/>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essnummer" w:val="1990"/>
    <w:docVar w:name="Aktennummer" w:val="1005/15"/>
    <w:docVar w:name="AnzahlAusdruck" w:val="1"/>
    <w:docVar w:name="Bemerkung" w:val="Muster NDA deutsch/englisch"/>
    <w:docVar w:name="DDNummerPH" w:val="fehlt"/>
    <w:docVar w:name="DICTASAVE" w:val="0"/>
    <w:docVar w:name="DmsSwR" w:val="solleer#W#solleer"/>
    <w:docVar w:name="DMSunterordner" w:val="0"/>
  </w:docVars>
  <w:rsids>
    <w:rsidRoot w:val="008F60D5"/>
    <w:rsid w:val="00007AE0"/>
    <w:rsid w:val="00021666"/>
    <w:rsid w:val="00033DA1"/>
    <w:rsid w:val="00034F5F"/>
    <w:rsid w:val="000412FA"/>
    <w:rsid w:val="00043E62"/>
    <w:rsid w:val="00047017"/>
    <w:rsid w:val="00061338"/>
    <w:rsid w:val="0008263E"/>
    <w:rsid w:val="000A2A29"/>
    <w:rsid w:val="000E0B13"/>
    <w:rsid w:val="000E60A1"/>
    <w:rsid w:val="00110DFE"/>
    <w:rsid w:val="00113BAF"/>
    <w:rsid w:val="001327DA"/>
    <w:rsid w:val="001354B5"/>
    <w:rsid w:val="00136D3A"/>
    <w:rsid w:val="00157EA8"/>
    <w:rsid w:val="00193D82"/>
    <w:rsid w:val="001A2BBB"/>
    <w:rsid w:val="001C3BA7"/>
    <w:rsid w:val="001D108A"/>
    <w:rsid w:val="001D1AFC"/>
    <w:rsid w:val="001F1D3C"/>
    <w:rsid w:val="00210B68"/>
    <w:rsid w:val="00212784"/>
    <w:rsid w:val="00214815"/>
    <w:rsid w:val="00224B00"/>
    <w:rsid w:val="0023060E"/>
    <w:rsid w:val="002312F3"/>
    <w:rsid w:val="00237336"/>
    <w:rsid w:val="0024081E"/>
    <w:rsid w:val="00242236"/>
    <w:rsid w:val="002427DF"/>
    <w:rsid w:val="00244DC5"/>
    <w:rsid w:val="002551BE"/>
    <w:rsid w:val="00262E9F"/>
    <w:rsid w:val="002727C7"/>
    <w:rsid w:val="00272DCA"/>
    <w:rsid w:val="0027671A"/>
    <w:rsid w:val="00276D70"/>
    <w:rsid w:val="002A1E7F"/>
    <w:rsid w:val="002A2D73"/>
    <w:rsid w:val="002A2F7C"/>
    <w:rsid w:val="002A5758"/>
    <w:rsid w:val="002B5BF7"/>
    <w:rsid w:val="002E105B"/>
    <w:rsid w:val="002E3E6D"/>
    <w:rsid w:val="002F0D07"/>
    <w:rsid w:val="002F113C"/>
    <w:rsid w:val="002F6F96"/>
    <w:rsid w:val="002F7BA8"/>
    <w:rsid w:val="00300C78"/>
    <w:rsid w:val="00303BD4"/>
    <w:rsid w:val="00303E51"/>
    <w:rsid w:val="00326EF7"/>
    <w:rsid w:val="00326EFD"/>
    <w:rsid w:val="00330C09"/>
    <w:rsid w:val="003318AC"/>
    <w:rsid w:val="00335C4F"/>
    <w:rsid w:val="00342019"/>
    <w:rsid w:val="00353964"/>
    <w:rsid w:val="00357E80"/>
    <w:rsid w:val="00367147"/>
    <w:rsid w:val="003736F1"/>
    <w:rsid w:val="00375511"/>
    <w:rsid w:val="00385153"/>
    <w:rsid w:val="0039699C"/>
    <w:rsid w:val="00397C78"/>
    <w:rsid w:val="003F0098"/>
    <w:rsid w:val="00401595"/>
    <w:rsid w:val="00431388"/>
    <w:rsid w:val="004421D7"/>
    <w:rsid w:val="0044342B"/>
    <w:rsid w:val="00446B51"/>
    <w:rsid w:val="00447968"/>
    <w:rsid w:val="00460B32"/>
    <w:rsid w:val="00464648"/>
    <w:rsid w:val="0048136F"/>
    <w:rsid w:val="00494D75"/>
    <w:rsid w:val="004A3FB0"/>
    <w:rsid w:val="004C4E52"/>
    <w:rsid w:val="004C76F8"/>
    <w:rsid w:val="004D6DB6"/>
    <w:rsid w:val="004E6A12"/>
    <w:rsid w:val="004F4E18"/>
    <w:rsid w:val="004F7161"/>
    <w:rsid w:val="004F7C07"/>
    <w:rsid w:val="00501692"/>
    <w:rsid w:val="005022EC"/>
    <w:rsid w:val="00506EF6"/>
    <w:rsid w:val="005166B1"/>
    <w:rsid w:val="00516C60"/>
    <w:rsid w:val="00520A8A"/>
    <w:rsid w:val="00525341"/>
    <w:rsid w:val="00540A1F"/>
    <w:rsid w:val="00546EB2"/>
    <w:rsid w:val="005478D4"/>
    <w:rsid w:val="00550663"/>
    <w:rsid w:val="005510B0"/>
    <w:rsid w:val="0056362E"/>
    <w:rsid w:val="005668C4"/>
    <w:rsid w:val="005953E1"/>
    <w:rsid w:val="00597F92"/>
    <w:rsid w:val="005A3E25"/>
    <w:rsid w:val="005A7EFB"/>
    <w:rsid w:val="005B0646"/>
    <w:rsid w:val="005C0B19"/>
    <w:rsid w:val="005C50CA"/>
    <w:rsid w:val="005C53A8"/>
    <w:rsid w:val="005D07C8"/>
    <w:rsid w:val="005D491F"/>
    <w:rsid w:val="005D5BC8"/>
    <w:rsid w:val="005E0C88"/>
    <w:rsid w:val="005E15BE"/>
    <w:rsid w:val="005E1714"/>
    <w:rsid w:val="00600808"/>
    <w:rsid w:val="00602A32"/>
    <w:rsid w:val="00615A23"/>
    <w:rsid w:val="0062460D"/>
    <w:rsid w:val="0062572D"/>
    <w:rsid w:val="006264E0"/>
    <w:rsid w:val="00630650"/>
    <w:rsid w:val="00631FE0"/>
    <w:rsid w:val="006334B8"/>
    <w:rsid w:val="00641943"/>
    <w:rsid w:val="0064463E"/>
    <w:rsid w:val="00655461"/>
    <w:rsid w:val="00660CF6"/>
    <w:rsid w:val="00666061"/>
    <w:rsid w:val="00686830"/>
    <w:rsid w:val="0068721E"/>
    <w:rsid w:val="006A4C87"/>
    <w:rsid w:val="006B28CC"/>
    <w:rsid w:val="006E157A"/>
    <w:rsid w:val="006E699C"/>
    <w:rsid w:val="006F149E"/>
    <w:rsid w:val="006F24B4"/>
    <w:rsid w:val="00704C21"/>
    <w:rsid w:val="0070774D"/>
    <w:rsid w:val="00717C94"/>
    <w:rsid w:val="007331D7"/>
    <w:rsid w:val="00745EA3"/>
    <w:rsid w:val="007478E5"/>
    <w:rsid w:val="00755483"/>
    <w:rsid w:val="007578D3"/>
    <w:rsid w:val="00762A4B"/>
    <w:rsid w:val="00765641"/>
    <w:rsid w:val="007841EE"/>
    <w:rsid w:val="007A70CB"/>
    <w:rsid w:val="007A7891"/>
    <w:rsid w:val="007B4F7C"/>
    <w:rsid w:val="007B6ABB"/>
    <w:rsid w:val="007C65E1"/>
    <w:rsid w:val="007C7498"/>
    <w:rsid w:val="007D341F"/>
    <w:rsid w:val="007D3B27"/>
    <w:rsid w:val="007E1E12"/>
    <w:rsid w:val="007E58E3"/>
    <w:rsid w:val="007F3DE0"/>
    <w:rsid w:val="00816B2F"/>
    <w:rsid w:val="00825E2F"/>
    <w:rsid w:val="00826072"/>
    <w:rsid w:val="008418CF"/>
    <w:rsid w:val="0084417A"/>
    <w:rsid w:val="008542B6"/>
    <w:rsid w:val="00856C29"/>
    <w:rsid w:val="0086223E"/>
    <w:rsid w:val="00865737"/>
    <w:rsid w:val="008676AD"/>
    <w:rsid w:val="00876016"/>
    <w:rsid w:val="00882960"/>
    <w:rsid w:val="00883186"/>
    <w:rsid w:val="00890F7E"/>
    <w:rsid w:val="00891940"/>
    <w:rsid w:val="00894ED9"/>
    <w:rsid w:val="008B0F48"/>
    <w:rsid w:val="008B3F08"/>
    <w:rsid w:val="008D0CFD"/>
    <w:rsid w:val="008D2471"/>
    <w:rsid w:val="008E5C87"/>
    <w:rsid w:val="008F48DE"/>
    <w:rsid w:val="008F60D5"/>
    <w:rsid w:val="008F67C2"/>
    <w:rsid w:val="00900B0E"/>
    <w:rsid w:val="00911C0D"/>
    <w:rsid w:val="00915793"/>
    <w:rsid w:val="00917F63"/>
    <w:rsid w:val="00923E33"/>
    <w:rsid w:val="0092672C"/>
    <w:rsid w:val="00934967"/>
    <w:rsid w:val="009426EB"/>
    <w:rsid w:val="009449E9"/>
    <w:rsid w:val="009552E1"/>
    <w:rsid w:val="00983099"/>
    <w:rsid w:val="0099477C"/>
    <w:rsid w:val="009A19F2"/>
    <w:rsid w:val="009A5AB2"/>
    <w:rsid w:val="009A68E5"/>
    <w:rsid w:val="009C66FD"/>
    <w:rsid w:val="009D1680"/>
    <w:rsid w:val="009D179D"/>
    <w:rsid w:val="009E2AF4"/>
    <w:rsid w:val="009F2166"/>
    <w:rsid w:val="00A01E0B"/>
    <w:rsid w:val="00A06A13"/>
    <w:rsid w:val="00A20523"/>
    <w:rsid w:val="00A27461"/>
    <w:rsid w:val="00A51994"/>
    <w:rsid w:val="00A60A22"/>
    <w:rsid w:val="00A7555D"/>
    <w:rsid w:val="00A97615"/>
    <w:rsid w:val="00AA19FE"/>
    <w:rsid w:val="00AA4F8E"/>
    <w:rsid w:val="00AB14BE"/>
    <w:rsid w:val="00AD22B7"/>
    <w:rsid w:val="00AE49E7"/>
    <w:rsid w:val="00AE4EC9"/>
    <w:rsid w:val="00AF7E59"/>
    <w:rsid w:val="00B01827"/>
    <w:rsid w:val="00B02A0F"/>
    <w:rsid w:val="00B037B5"/>
    <w:rsid w:val="00B121A1"/>
    <w:rsid w:val="00B23668"/>
    <w:rsid w:val="00B24330"/>
    <w:rsid w:val="00B30015"/>
    <w:rsid w:val="00B30B3C"/>
    <w:rsid w:val="00B3719C"/>
    <w:rsid w:val="00B51CA1"/>
    <w:rsid w:val="00B55F60"/>
    <w:rsid w:val="00B60558"/>
    <w:rsid w:val="00B64AC4"/>
    <w:rsid w:val="00B720F5"/>
    <w:rsid w:val="00B736E5"/>
    <w:rsid w:val="00B9788A"/>
    <w:rsid w:val="00BE2DA5"/>
    <w:rsid w:val="00BE381B"/>
    <w:rsid w:val="00BF086B"/>
    <w:rsid w:val="00BF3D4D"/>
    <w:rsid w:val="00C16DC3"/>
    <w:rsid w:val="00C2301D"/>
    <w:rsid w:val="00C27619"/>
    <w:rsid w:val="00C30026"/>
    <w:rsid w:val="00C34261"/>
    <w:rsid w:val="00C41DDD"/>
    <w:rsid w:val="00C46893"/>
    <w:rsid w:val="00C51234"/>
    <w:rsid w:val="00C5142A"/>
    <w:rsid w:val="00C52DA9"/>
    <w:rsid w:val="00C61CD0"/>
    <w:rsid w:val="00C72202"/>
    <w:rsid w:val="00C75273"/>
    <w:rsid w:val="00C80FED"/>
    <w:rsid w:val="00CA6646"/>
    <w:rsid w:val="00CD059F"/>
    <w:rsid w:val="00CE182A"/>
    <w:rsid w:val="00CE34EF"/>
    <w:rsid w:val="00CF6D7A"/>
    <w:rsid w:val="00D003F0"/>
    <w:rsid w:val="00D0438A"/>
    <w:rsid w:val="00D04608"/>
    <w:rsid w:val="00D16EF4"/>
    <w:rsid w:val="00D520B7"/>
    <w:rsid w:val="00D52523"/>
    <w:rsid w:val="00D559D3"/>
    <w:rsid w:val="00D6183D"/>
    <w:rsid w:val="00D61D14"/>
    <w:rsid w:val="00D635CC"/>
    <w:rsid w:val="00D703BF"/>
    <w:rsid w:val="00D72227"/>
    <w:rsid w:val="00DA0BF9"/>
    <w:rsid w:val="00DA2E38"/>
    <w:rsid w:val="00DB7229"/>
    <w:rsid w:val="00DC4966"/>
    <w:rsid w:val="00DD19CB"/>
    <w:rsid w:val="00DD4551"/>
    <w:rsid w:val="00DF63D1"/>
    <w:rsid w:val="00DF6823"/>
    <w:rsid w:val="00DF72E8"/>
    <w:rsid w:val="00DF7451"/>
    <w:rsid w:val="00E17CF7"/>
    <w:rsid w:val="00E256D7"/>
    <w:rsid w:val="00E426B0"/>
    <w:rsid w:val="00E457E1"/>
    <w:rsid w:val="00E56608"/>
    <w:rsid w:val="00E970B6"/>
    <w:rsid w:val="00E9756E"/>
    <w:rsid w:val="00EA6BC2"/>
    <w:rsid w:val="00EB36E8"/>
    <w:rsid w:val="00EC6DD8"/>
    <w:rsid w:val="00EC739C"/>
    <w:rsid w:val="00EF5186"/>
    <w:rsid w:val="00F01E50"/>
    <w:rsid w:val="00F03DEB"/>
    <w:rsid w:val="00F22D59"/>
    <w:rsid w:val="00F259E2"/>
    <w:rsid w:val="00F27404"/>
    <w:rsid w:val="00F312A2"/>
    <w:rsid w:val="00F33163"/>
    <w:rsid w:val="00F34876"/>
    <w:rsid w:val="00F51B87"/>
    <w:rsid w:val="00F576A7"/>
    <w:rsid w:val="00F62454"/>
    <w:rsid w:val="00F65769"/>
    <w:rsid w:val="00F80956"/>
    <w:rsid w:val="00F83FBE"/>
    <w:rsid w:val="00F951C5"/>
    <w:rsid w:val="00F95485"/>
    <w:rsid w:val="00FA6C62"/>
    <w:rsid w:val="00FB08CC"/>
    <w:rsid w:val="00FB2646"/>
    <w:rsid w:val="00FC2274"/>
    <w:rsid w:val="00FD0F14"/>
    <w:rsid w:val="00FD2822"/>
    <w:rsid w:val="00FD2A5C"/>
    <w:rsid w:val="00FF4C74"/>
    <w:rsid w:val="00FF4F8E"/>
    <w:rsid w:val="00FF5B61"/>
    <w:rsid w:val="00FF6D04"/>
    <w:rsid w:val="00FF790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D6A52B"/>
  <w15:docId w15:val="{21679CBC-B083-4382-85C3-ACC47395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34F5F"/>
    <w:pPr>
      <w:spacing w:line="307" w:lineRule="auto"/>
      <w:ind w:left="284" w:right="2115"/>
    </w:pPr>
    <w:rPr>
      <w:rFonts w:ascii="Segoe UI" w:hAnsi="Segoe UI"/>
      <w:spacing w:val="10"/>
      <w:lang w:val="en-US"/>
    </w:rPr>
  </w:style>
  <w:style w:type="paragraph" w:styleId="berschrift1">
    <w:name w:val="heading 1"/>
    <w:basedOn w:val="Standard"/>
    <w:next w:val="Standard"/>
    <w:qFormat/>
    <w:pPr>
      <w:keepNext/>
      <w:keepLines/>
      <w:numPr>
        <w:numId w:val="3"/>
      </w:numPr>
      <w:pBdr>
        <w:bottom w:val="single" w:sz="4" w:space="1" w:color="auto"/>
      </w:pBdr>
      <w:spacing w:before="240" w:after="120"/>
      <w:outlineLvl w:val="0"/>
    </w:pPr>
    <w:rPr>
      <w:b/>
      <w:sz w:val="22"/>
      <w:szCs w:val="24"/>
    </w:rPr>
  </w:style>
  <w:style w:type="paragraph" w:styleId="berschrift2">
    <w:name w:val="heading 2"/>
    <w:basedOn w:val="Standard"/>
    <w:qFormat/>
    <w:pPr>
      <w:numPr>
        <w:ilvl w:val="1"/>
        <w:numId w:val="3"/>
      </w:numPr>
      <w:spacing w:before="120" w:line="360" w:lineRule="auto"/>
      <w:outlineLvl w:val="1"/>
    </w:pPr>
    <w:rPr>
      <w:rFonts w:cs="Arial"/>
      <w:bCs/>
      <w:iCs/>
      <w:szCs w:val="28"/>
    </w:rPr>
  </w:style>
  <w:style w:type="paragraph" w:styleId="berschrift3">
    <w:name w:val="heading 3"/>
    <w:basedOn w:val="Standard"/>
    <w:next w:val="Standard"/>
    <w:qFormat/>
    <w:pPr>
      <w:keepNext/>
      <w:numPr>
        <w:ilvl w:val="2"/>
        <w:numId w:val="3"/>
      </w:numPr>
      <w:outlineLvl w:val="2"/>
    </w:pPr>
    <w:rPr>
      <w:rFonts w:cs="Arial"/>
      <w:b/>
      <w:bCs/>
      <w:iCs/>
      <w:snapToGrid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ind w:left="0"/>
    </w:pPr>
    <w:rPr>
      <w:sz w:val="18"/>
    </w:rPr>
  </w:style>
  <w:style w:type="paragraph" w:styleId="Textkrper-Einzug3">
    <w:name w:val="Body Text Indent 3"/>
    <w:basedOn w:val="Standard"/>
    <w:pPr>
      <w:widowControl w:val="0"/>
      <w:numPr>
        <w:numId w:val="1"/>
      </w:numPr>
      <w:tabs>
        <w:tab w:val="left" w:pos="357"/>
      </w:tabs>
      <w:autoSpaceDE w:val="0"/>
      <w:autoSpaceDN w:val="0"/>
      <w:spacing w:after="120"/>
      <w:jc w:val="both"/>
    </w:pPr>
    <w:rPr>
      <w:color w:val="000000"/>
      <w:sz w:val="22"/>
    </w:rPr>
  </w:style>
  <w:style w:type="paragraph" w:styleId="Textkrper-Zeileneinzug">
    <w:name w:val="Body Text Indent"/>
    <w:basedOn w:val="Standard"/>
    <w:next w:val="Standard"/>
    <w:pPr>
      <w:ind w:left="357"/>
    </w:pPr>
  </w:style>
  <w:style w:type="paragraph" w:styleId="Liste">
    <w:name w:val="List"/>
    <w:basedOn w:val="Standard"/>
    <w:pPr>
      <w:numPr>
        <w:numId w:val="4"/>
      </w:numPr>
      <w:tabs>
        <w:tab w:val="left" w:pos="567"/>
      </w:tabs>
      <w:spacing w:line="288" w:lineRule="exact"/>
      <w:ind w:right="601"/>
    </w:pPr>
    <w:rPr>
      <w:szCs w:val="24"/>
    </w:rPr>
  </w:style>
  <w:style w:type="paragraph" w:styleId="Listenfortsetzung">
    <w:name w:val="List Continue"/>
    <w:basedOn w:val="Standardeinzug"/>
    <w:pPr>
      <w:spacing w:after="120"/>
      <w:ind w:left="567"/>
    </w:pPr>
  </w:style>
  <w:style w:type="paragraph" w:styleId="Standardeinzug">
    <w:name w:val="Normal Indent"/>
    <w:basedOn w:val="Standard"/>
    <w:pPr>
      <w:ind w:left="708"/>
    </w:pPr>
  </w:style>
  <w:style w:type="paragraph" w:styleId="Textkrper">
    <w:name w:val="Body Text"/>
    <w:basedOn w:val="Standard"/>
    <w:pPr>
      <w:widowControl w:val="0"/>
      <w:tabs>
        <w:tab w:val="left" w:pos="567"/>
      </w:tabs>
      <w:autoSpaceDE w:val="0"/>
      <w:autoSpaceDN w:val="0"/>
      <w:spacing w:before="40" w:after="40"/>
    </w:pPr>
    <w:rPr>
      <w:color w:val="000000"/>
      <w:sz w:val="18"/>
    </w:rPr>
  </w:style>
  <w:style w:type="paragraph" w:styleId="Kopfzeile">
    <w:name w:val="header"/>
    <w:basedOn w:val="Standard"/>
    <w:pPr>
      <w:tabs>
        <w:tab w:val="center" w:pos="4536"/>
        <w:tab w:val="right" w:pos="9072"/>
      </w:tabs>
    </w:pPr>
  </w:style>
  <w:style w:type="paragraph" w:styleId="Verzeichnis1">
    <w:name w:val="toc 1"/>
    <w:basedOn w:val="Standard"/>
    <w:next w:val="Standard"/>
    <w:autoRedefine/>
    <w:semiHidden/>
    <w:pPr>
      <w:spacing w:before="120" w:after="60" w:line="360" w:lineRule="auto"/>
    </w:pPr>
    <w:rPr>
      <w:rFonts w:cs="Arial"/>
      <w:bCs/>
      <w:szCs w:val="28"/>
      <w:lang w:val="en-GB"/>
    </w:rPr>
  </w:style>
  <w:style w:type="paragraph" w:styleId="Verzeichnis2">
    <w:name w:val="toc 2"/>
    <w:basedOn w:val="Standard"/>
    <w:next w:val="Standard"/>
    <w:autoRedefine/>
    <w:semiHidden/>
    <w:pPr>
      <w:spacing w:after="60"/>
      <w:ind w:left="221"/>
    </w:pPr>
  </w:style>
  <w:style w:type="paragraph" w:styleId="StandardWeb">
    <w:name w:val="Normal (Web)"/>
    <w:basedOn w:val="Standard"/>
    <w:pPr>
      <w:spacing w:before="100" w:beforeAutospacing="1" w:after="100" w:afterAutospacing="1"/>
    </w:pPr>
    <w:rPr>
      <w:rFonts w:ascii="Verdana" w:hAnsi="Verdana"/>
      <w:szCs w:val="18"/>
    </w:rPr>
  </w:style>
  <w:style w:type="paragraph" w:styleId="Verzeichnis3">
    <w:name w:val="toc 3"/>
    <w:basedOn w:val="Standard"/>
    <w:next w:val="Standard"/>
    <w:autoRedefine/>
    <w:semiHidden/>
    <w:pPr>
      <w:spacing w:after="60"/>
      <w:ind w:left="567"/>
    </w:pPr>
  </w:style>
  <w:style w:type="paragraph" w:styleId="Textkrper3">
    <w:name w:val="Body Text 3"/>
    <w:basedOn w:val="Standard"/>
    <w:pPr>
      <w:tabs>
        <w:tab w:val="left" w:pos="360"/>
        <w:tab w:val="left" w:pos="900"/>
      </w:tabs>
      <w:spacing w:after="120"/>
      <w:jc w:val="both"/>
    </w:pPr>
    <w:rPr>
      <w:rFonts w:cs="Arial"/>
      <w:szCs w:val="22"/>
    </w:rPr>
  </w:style>
  <w:style w:type="character" w:styleId="Endnotenzeichen">
    <w:name w:val="endnote reference"/>
    <w:semiHidden/>
    <w:rPr>
      <w:rFonts w:ascii="Arial" w:hAnsi="Arial"/>
      <w:sz w:val="20"/>
      <w:vertAlign w:val="superscript"/>
    </w:rPr>
  </w:style>
  <w:style w:type="paragraph" w:styleId="Zitat">
    <w:name w:val="Quote"/>
    <w:basedOn w:val="Standard"/>
    <w:qFormat/>
    <w:pPr>
      <w:spacing w:before="120" w:after="120"/>
      <w:ind w:left="567"/>
    </w:pPr>
    <w:rPr>
      <w:lang w:val="de-DE"/>
    </w:rPr>
  </w:style>
  <w:style w:type="paragraph" w:styleId="Funotentext">
    <w:name w:val="footnote text"/>
    <w:basedOn w:val="Standard"/>
    <w:semiHidden/>
    <w:rPr>
      <w:sz w:val="18"/>
    </w:rPr>
  </w:style>
  <w:style w:type="paragraph" w:styleId="Kommentartext">
    <w:name w:val="annotation text"/>
    <w:basedOn w:val="Standard"/>
    <w:link w:val="KommentartextZchn"/>
    <w:semiHidden/>
    <w:rPr>
      <w:sz w:val="18"/>
    </w:rPr>
  </w:style>
  <w:style w:type="paragraph" w:styleId="Titel">
    <w:name w:val="Title"/>
    <w:basedOn w:val="Standard"/>
    <w:qFormat/>
    <w:pPr>
      <w:tabs>
        <w:tab w:val="left" w:pos="567"/>
      </w:tabs>
      <w:spacing w:before="240" w:after="60" w:line="360" w:lineRule="auto"/>
      <w:outlineLvl w:val="0"/>
    </w:pPr>
    <w:rPr>
      <w:rFonts w:cs="Arial"/>
      <w:b/>
      <w:bCs/>
      <w:kern w:val="28"/>
      <w:sz w:val="32"/>
      <w:szCs w:val="32"/>
    </w:rPr>
  </w:style>
  <w:style w:type="character" w:styleId="Seitenzahl">
    <w:name w:val="page number"/>
    <w:rPr>
      <w:rFonts w:ascii="Arial" w:hAnsi="Arial"/>
      <w:sz w:val="20"/>
    </w:rPr>
  </w:style>
  <w:style w:type="paragraph" w:customStyle="1" w:styleId="Beschluss">
    <w:name w:val="Beschluss"/>
    <w:basedOn w:val="Standard"/>
    <w:pPr>
      <w:keepNext/>
      <w:tabs>
        <w:tab w:val="left" w:pos="567"/>
      </w:tabs>
      <w:spacing w:before="120" w:line="360" w:lineRule="auto"/>
    </w:pPr>
    <w:rPr>
      <w:b/>
    </w:rPr>
  </w:style>
  <w:style w:type="paragraph" w:customStyle="1" w:styleId="TextURatverborgen">
    <w:name w:val="Text_U_Rat_verborgen"/>
    <w:basedOn w:val="TextURatverborgenEinzug"/>
    <w:pPr>
      <w:numPr>
        <w:ilvl w:val="1"/>
        <w:numId w:val="2"/>
      </w:numPr>
      <w:tabs>
        <w:tab w:val="left" w:pos="567"/>
      </w:tabs>
    </w:pPr>
    <w:rPr>
      <w:u w:val="single"/>
    </w:rPr>
  </w:style>
  <w:style w:type="paragraph" w:customStyle="1" w:styleId="TextAufzhlungverborgen">
    <w:name w:val="Text_Aufzählung_verborgen"/>
    <w:basedOn w:val="TextURatverborgen"/>
    <w:pPr>
      <w:numPr>
        <w:ilvl w:val="0"/>
        <w:numId w:val="0"/>
      </w:numPr>
      <w:tabs>
        <w:tab w:val="left" w:pos="924"/>
      </w:tabs>
      <w:spacing w:before="0"/>
    </w:pPr>
  </w:style>
  <w:style w:type="paragraph" w:customStyle="1" w:styleId="TextURatverborgenEinzug">
    <w:name w:val="Text_U_Rat_verborgen_Einzug"/>
    <w:basedOn w:val="berschrift2"/>
    <w:pPr>
      <w:numPr>
        <w:ilvl w:val="0"/>
        <w:numId w:val="0"/>
      </w:numPr>
      <w:ind w:left="567"/>
    </w:pPr>
    <w:rPr>
      <w:vanish/>
    </w:rPr>
  </w:style>
  <w:style w:type="paragraph" w:customStyle="1" w:styleId="Flietext">
    <w:name w:val="Fließtext"/>
    <w:basedOn w:val="Standard"/>
    <w:pPr>
      <w:spacing w:before="120" w:after="120" w:line="288" w:lineRule="auto"/>
      <w:jc w:val="both"/>
    </w:pPr>
    <w:rPr>
      <w:sz w:val="23"/>
      <w:szCs w:val="24"/>
    </w:rPr>
  </w:style>
  <w:style w:type="character" w:styleId="Hyperlink">
    <w:name w:val="Hyperlink"/>
    <w:rPr>
      <w:color w:val="0000FF"/>
      <w:u w:val="single"/>
    </w:rPr>
  </w:style>
  <w:style w:type="paragraph" w:customStyle="1" w:styleId="AdresseAbsender">
    <w:name w:val="Adresse_Absender"/>
    <w:basedOn w:val="Standard"/>
    <w:pPr>
      <w:spacing w:line="288" w:lineRule="auto"/>
      <w:ind w:left="0" w:right="0"/>
    </w:pPr>
    <w:rPr>
      <w:spacing w:val="6"/>
      <w:sz w:val="16"/>
      <w:lang w:val="de-DE"/>
    </w:rPr>
  </w:style>
  <w:style w:type="paragraph" w:customStyle="1" w:styleId="Anschrift">
    <w:name w:val="Anschrift"/>
    <w:basedOn w:val="Standard"/>
    <w:pPr>
      <w:ind w:left="1021"/>
    </w:pPr>
    <w:rPr>
      <w:spacing w:val="12"/>
      <w:lang w:val="de-DE"/>
    </w:rPr>
  </w:style>
  <w:style w:type="paragraph" w:customStyle="1" w:styleId="EinfAbs">
    <w:name w:val="[Einf. Abs.]"/>
    <w:basedOn w:val="Standard"/>
    <w:uiPriority w:val="99"/>
    <w:rsid w:val="007B4F7C"/>
    <w:pPr>
      <w:autoSpaceDE w:val="0"/>
      <w:autoSpaceDN w:val="0"/>
      <w:adjustRightInd w:val="0"/>
      <w:spacing w:line="288" w:lineRule="auto"/>
      <w:ind w:left="0" w:right="0"/>
      <w:textAlignment w:val="center"/>
    </w:pPr>
    <w:rPr>
      <w:rFonts w:ascii="Minion Pro" w:hAnsi="Minion Pro" w:cs="Minion Pro"/>
      <w:color w:val="000000"/>
      <w:spacing w:val="0"/>
      <w:sz w:val="24"/>
      <w:szCs w:val="24"/>
      <w:lang w:val="de-DE"/>
    </w:rPr>
  </w:style>
  <w:style w:type="paragraph" w:styleId="Sprechblasentext">
    <w:name w:val="Balloon Text"/>
    <w:basedOn w:val="Standard"/>
    <w:link w:val="SprechblasentextZchn"/>
    <w:rsid w:val="002F7BA8"/>
    <w:pPr>
      <w:spacing w:line="240" w:lineRule="auto"/>
    </w:pPr>
    <w:rPr>
      <w:rFonts w:ascii="Tahoma" w:hAnsi="Tahoma" w:cs="Tahoma"/>
      <w:sz w:val="16"/>
      <w:szCs w:val="16"/>
    </w:rPr>
  </w:style>
  <w:style w:type="character" w:customStyle="1" w:styleId="SprechblasentextZchn">
    <w:name w:val="Sprechblasentext Zchn"/>
    <w:link w:val="Sprechblasentext"/>
    <w:rsid w:val="002F7BA8"/>
    <w:rPr>
      <w:rFonts w:ascii="Tahoma" w:hAnsi="Tahoma" w:cs="Tahoma"/>
      <w:spacing w:val="10"/>
      <w:sz w:val="16"/>
      <w:szCs w:val="16"/>
      <w:lang w:val="en-US"/>
    </w:rPr>
  </w:style>
  <w:style w:type="character" w:customStyle="1" w:styleId="FuzeileZchn">
    <w:name w:val="Fußzeile Zchn"/>
    <w:link w:val="Fuzeile"/>
    <w:uiPriority w:val="99"/>
    <w:rsid w:val="00C2301D"/>
    <w:rPr>
      <w:rFonts w:ascii="Segoe UI" w:hAnsi="Segoe UI"/>
      <w:spacing w:val="10"/>
      <w:sz w:val="18"/>
      <w:lang w:val="en-US"/>
    </w:rPr>
  </w:style>
  <w:style w:type="character" w:styleId="Kommentarzeichen">
    <w:name w:val="annotation reference"/>
    <w:rsid w:val="00FD0F14"/>
    <w:rPr>
      <w:sz w:val="16"/>
      <w:szCs w:val="16"/>
    </w:rPr>
  </w:style>
  <w:style w:type="paragraph" w:styleId="Kommentarthema">
    <w:name w:val="annotation subject"/>
    <w:basedOn w:val="Kommentartext"/>
    <w:next w:val="Kommentartext"/>
    <w:link w:val="KommentarthemaZchn"/>
    <w:rsid w:val="00FD0F14"/>
    <w:rPr>
      <w:b/>
      <w:bCs/>
      <w:sz w:val="20"/>
    </w:rPr>
  </w:style>
  <w:style w:type="character" w:customStyle="1" w:styleId="KommentartextZchn">
    <w:name w:val="Kommentartext Zchn"/>
    <w:link w:val="Kommentartext"/>
    <w:semiHidden/>
    <w:rsid w:val="00FD0F14"/>
    <w:rPr>
      <w:rFonts w:ascii="Segoe UI" w:hAnsi="Segoe UI"/>
      <w:spacing w:val="10"/>
      <w:sz w:val="18"/>
      <w:lang w:val="en-US"/>
    </w:rPr>
  </w:style>
  <w:style w:type="character" w:customStyle="1" w:styleId="KommentarthemaZchn">
    <w:name w:val="Kommentarthema Zchn"/>
    <w:link w:val="Kommentarthema"/>
    <w:rsid w:val="00FD0F14"/>
    <w:rPr>
      <w:rFonts w:ascii="Segoe UI" w:hAnsi="Segoe UI"/>
      <w:b/>
      <w:bCs/>
      <w:spacing w:val="10"/>
      <w:sz w:val="18"/>
      <w:lang w:val="en-US"/>
    </w:rPr>
  </w:style>
  <w:style w:type="table" w:styleId="Tabellenraster">
    <w:name w:val="Table Grid"/>
    <w:basedOn w:val="NormaleTabelle"/>
    <w:rsid w:val="000E6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4A3FB0"/>
    <w:rPr>
      <w:rFonts w:ascii="Segoe UI" w:hAnsi="Segoe UI"/>
      <w:spacing w:val="1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171078">
      <w:bodyDiv w:val="1"/>
      <w:marLeft w:val="0"/>
      <w:marRight w:val="0"/>
      <w:marTop w:val="0"/>
      <w:marBottom w:val="0"/>
      <w:divBdr>
        <w:top w:val="none" w:sz="0" w:space="0" w:color="auto"/>
        <w:left w:val="none" w:sz="0" w:space="0" w:color="auto"/>
        <w:bottom w:val="none" w:sz="0" w:space="0" w:color="auto"/>
        <w:right w:val="none" w:sz="0" w:space="0" w:color="auto"/>
      </w:divBdr>
    </w:div>
    <w:div w:id="923103146">
      <w:bodyDiv w:val="1"/>
      <w:marLeft w:val="0"/>
      <w:marRight w:val="0"/>
      <w:marTop w:val="0"/>
      <w:marBottom w:val="0"/>
      <w:divBdr>
        <w:top w:val="none" w:sz="0" w:space="0" w:color="auto"/>
        <w:left w:val="none" w:sz="0" w:space="0" w:color="auto"/>
        <w:bottom w:val="none" w:sz="0" w:space="0" w:color="auto"/>
        <w:right w:val="none" w:sz="0" w:space="0" w:color="auto"/>
      </w:divBdr>
    </w:div>
    <w:div w:id="18083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a\Downloads\190319_Muster_mutual_CDA_zweisprachi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9F9C3-7D8D-4E33-AD99-B0C1895F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190319_Muster_mutual_CDA_zweisprachig.dotx</Template>
  <TotalTime>0</TotalTime>
  <Pages>5</Pages>
  <Words>1218</Words>
  <Characters>8560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Universität des Saarlandes</vt:lpstr>
    </vt:vector>
  </TitlesOfParts>
  <Company>Referat 641 - Bologna-Büro</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des Saarlandes</dc:title>
  <dc:creator>Lorena Fa</dc:creator>
  <cp:lastModifiedBy>Sabine Johannes</cp:lastModifiedBy>
  <cp:revision>7</cp:revision>
  <cp:lastPrinted>2019-01-21T09:22:00Z</cp:lastPrinted>
  <dcterms:created xsi:type="dcterms:W3CDTF">2021-02-05T15:31:00Z</dcterms:created>
  <dcterms:modified xsi:type="dcterms:W3CDTF">2024-04-16T06:27:00Z</dcterms:modified>
</cp:coreProperties>
</file>