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46580" w14:textId="77777777" w:rsidR="003F30EF" w:rsidRDefault="00F05A2A" w:rsidP="003F30EF">
      <w:pPr>
        <w:jc w:val="center"/>
        <w:rPr>
          <w:b/>
          <w:bCs/>
          <w:sz w:val="28"/>
          <w:szCs w:val="28"/>
          <w:u w:val="single"/>
        </w:rPr>
      </w:pPr>
      <w:r>
        <w:rPr>
          <w:b/>
          <w:bCs/>
          <w:sz w:val="28"/>
          <w:szCs w:val="28"/>
          <w:u w:val="single"/>
        </w:rPr>
        <w:t>Erasmus in Griechenland</w:t>
      </w:r>
    </w:p>
    <w:p w14:paraId="3F96CE05" w14:textId="77777777" w:rsidR="003F30EF" w:rsidRPr="003F30EF" w:rsidRDefault="003F30EF" w:rsidP="003F30EF">
      <w:pPr>
        <w:rPr>
          <w:b/>
          <w:bCs/>
          <w:sz w:val="28"/>
          <w:szCs w:val="28"/>
          <w:u w:val="single"/>
        </w:rPr>
      </w:pPr>
      <w:r>
        <w:rPr>
          <w:b/>
          <w:bCs/>
          <w:sz w:val="24"/>
          <w:szCs w:val="24"/>
        </w:rPr>
        <w:t>Studieren in Griechenland</w:t>
      </w:r>
    </w:p>
    <w:tbl>
      <w:tblPr>
        <w:tblStyle w:val="HelleListe-Akzent3"/>
        <w:tblW w:w="0" w:type="auto"/>
        <w:tblLook w:val="0620" w:firstRow="1" w:lastRow="0" w:firstColumn="0" w:lastColumn="0" w:noHBand="1" w:noVBand="1"/>
      </w:tblPr>
      <w:tblGrid>
        <w:gridCol w:w="964"/>
        <w:gridCol w:w="964"/>
        <w:gridCol w:w="7124"/>
      </w:tblGrid>
      <w:tr w:rsidR="00624043" w14:paraId="560821C5" w14:textId="77777777" w:rsidTr="0054072E">
        <w:trPr>
          <w:cnfStyle w:val="100000000000" w:firstRow="1" w:lastRow="0" w:firstColumn="0" w:lastColumn="0" w:oddVBand="0" w:evenVBand="0" w:oddHBand="0" w:evenHBand="0" w:firstRowFirstColumn="0" w:firstRowLastColumn="0" w:lastRowFirstColumn="0" w:lastRowLastColumn="0"/>
        </w:trPr>
        <w:tc>
          <w:tcPr>
            <w:tcW w:w="0" w:type="auto"/>
          </w:tcPr>
          <w:p w14:paraId="176A6CA9" w14:textId="77777777" w:rsidR="00624043" w:rsidRDefault="00624043">
            <w:pPr>
              <w:rPr>
                <w:b w:val="0"/>
                <w:bCs w:val="0"/>
              </w:rPr>
            </w:pPr>
          </w:p>
        </w:tc>
        <w:tc>
          <w:tcPr>
            <w:tcW w:w="0" w:type="auto"/>
          </w:tcPr>
          <w:p w14:paraId="68D756E0" w14:textId="77777777" w:rsidR="00624043" w:rsidRDefault="00624043"/>
        </w:tc>
        <w:tc>
          <w:tcPr>
            <w:tcW w:w="7124" w:type="dxa"/>
          </w:tcPr>
          <w:p w14:paraId="282CB428" w14:textId="77777777" w:rsidR="00624043" w:rsidRDefault="00624043"/>
        </w:tc>
      </w:tr>
      <w:tr w:rsidR="00624043" w14:paraId="16FA697A" w14:textId="77777777" w:rsidTr="0054072E">
        <w:trPr>
          <w:trHeight w:val="567"/>
        </w:trPr>
        <w:tc>
          <w:tcPr>
            <w:tcW w:w="0" w:type="auto"/>
            <w:gridSpan w:val="2"/>
          </w:tcPr>
          <w:p w14:paraId="11046819" w14:textId="77777777" w:rsidR="00624043" w:rsidRPr="00624043" w:rsidRDefault="00624043">
            <w:pPr>
              <w:rPr>
                <w:sz w:val="24"/>
                <w:szCs w:val="24"/>
              </w:rPr>
            </w:pPr>
            <w:r>
              <w:rPr>
                <w:sz w:val="24"/>
                <w:szCs w:val="24"/>
              </w:rPr>
              <w:t>Studienverlauf</w:t>
            </w:r>
          </w:p>
        </w:tc>
        <w:tc>
          <w:tcPr>
            <w:tcW w:w="7124" w:type="dxa"/>
          </w:tcPr>
          <w:p w14:paraId="711A3F47" w14:textId="77777777" w:rsidR="00624043" w:rsidRPr="00624043" w:rsidRDefault="00624043">
            <w:pPr>
              <w:rPr>
                <w:sz w:val="24"/>
                <w:szCs w:val="24"/>
              </w:rPr>
            </w:pPr>
            <w:r>
              <w:rPr>
                <w:sz w:val="24"/>
                <w:szCs w:val="24"/>
              </w:rPr>
              <w:t xml:space="preserve">Die </w:t>
            </w:r>
            <w:r w:rsidR="00784D76">
              <w:rPr>
                <w:sz w:val="24"/>
                <w:szCs w:val="24"/>
              </w:rPr>
              <w:t>J</w:t>
            </w:r>
            <w:r>
              <w:rPr>
                <w:sz w:val="24"/>
                <w:szCs w:val="24"/>
              </w:rPr>
              <w:t>uristenausbildung in Griechenland</w:t>
            </w:r>
            <w:r w:rsidR="00784D76">
              <w:rPr>
                <w:sz w:val="24"/>
                <w:szCs w:val="24"/>
              </w:rPr>
              <w:t xml:space="preserve"> ist zweistufig und gliedert sich in einen akademischen und einen berufspraktischen Teil. </w:t>
            </w:r>
            <w:r w:rsidR="00784D76" w:rsidRPr="00784D76">
              <w:rPr>
                <w:sz w:val="24"/>
                <w:szCs w:val="24"/>
              </w:rPr>
              <w:t>Das Jurastudium dauert acht Semester (vier Jahre) und endet mit dem </w:t>
            </w:r>
            <w:proofErr w:type="spellStart"/>
            <w:r w:rsidR="00784D76" w:rsidRPr="001817C1">
              <w:rPr>
                <w:i/>
                <w:iCs/>
                <w:color w:val="000000" w:themeColor="text1"/>
                <w:sz w:val="24"/>
                <w:szCs w:val="24"/>
              </w:rPr>
              <w:fldChar w:fldCharType="begin"/>
            </w:r>
            <w:r w:rsidR="00784D76" w:rsidRPr="001817C1">
              <w:rPr>
                <w:i/>
                <w:iCs/>
                <w:color w:val="000000" w:themeColor="text1"/>
                <w:sz w:val="24"/>
                <w:szCs w:val="24"/>
              </w:rPr>
              <w:instrText xml:space="preserve"> HYPERLINK "https://de.wikipedia.org/wiki/Ptychio" \o "Ptychio" </w:instrText>
            </w:r>
            <w:r w:rsidR="00784D76" w:rsidRPr="001817C1">
              <w:rPr>
                <w:i/>
                <w:iCs/>
                <w:color w:val="000000" w:themeColor="text1"/>
                <w:sz w:val="24"/>
                <w:szCs w:val="24"/>
              </w:rPr>
              <w:fldChar w:fldCharType="separate"/>
            </w:r>
            <w:r w:rsidR="00784D76" w:rsidRPr="001817C1">
              <w:rPr>
                <w:rStyle w:val="Hyperlink"/>
                <w:i/>
                <w:iCs/>
                <w:color w:val="000000" w:themeColor="text1"/>
                <w:sz w:val="24"/>
                <w:szCs w:val="24"/>
              </w:rPr>
              <w:t>Ptychio</w:t>
            </w:r>
            <w:proofErr w:type="spellEnd"/>
            <w:r w:rsidR="00784D76" w:rsidRPr="001817C1">
              <w:rPr>
                <w:color w:val="000000" w:themeColor="text1"/>
                <w:sz w:val="24"/>
                <w:szCs w:val="24"/>
              </w:rPr>
              <w:fldChar w:fldCharType="end"/>
            </w:r>
            <w:r w:rsidR="00784D76" w:rsidRPr="00784D76">
              <w:rPr>
                <w:i/>
                <w:iCs/>
                <w:sz w:val="24"/>
                <w:szCs w:val="24"/>
              </w:rPr>
              <w:t> </w:t>
            </w:r>
            <w:proofErr w:type="spellStart"/>
            <w:r w:rsidR="00784D76" w:rsidRPr="00784D76">
              <w:rPr>
                <w:i/>
                <w:iCs/>
                <w:sz w:val="24"/>
                <w:szCs w:val="24"/>
              </w:rPr>
              <w:t>Nomikis</w:t>
            </w:r>
            <w:proofErr w:type="spellEnd"/>
            <w:r w:rsidR="00784D76" w:rsidRPr="00784D76">
              <w:rPr>
                <w:sz w:val="24"/>
                <w:szCs w:val="24"/>
              </w:rPr>
              <w:t> (</w:t>
            </w:r>
            <w:r w:rsidR="00784D76">
              <w:rPr>
                <w:sz w:val="24"/>
                <w:szCs w:val="24"/>
              </w:rPr>
              <w:t>=</w:t>
            </w:r>
            <w:r w:rsidR="00784D76" w:rsidRPr="00784D76">
              <w:rPr>
                <w:sz w:val="24"/>
                <w:szCs w:val="24"/>
              </w:rPr>
              <w:t xml:space="preserve"> Bachelor </w:t>
            </w:r>
            <w:proofErr w:type="spellStart"/>
            <w:r w:rsidR="00784D76" w:rsidRPr="00784D76">
              <w:rPr>
                <w:sz w:val="24"/>
                <w:szCs w:val="24"/>
              </w:rPr>
              <w:t>of</w:t>
            </w:r>
            <w:proofErr w:type="spellEnd"/>
            <w:r w:rsidR="00784D76" w:rsidRPr="00784D76">
              <w:rPr>
                <w:sz w:val="24"/>
                <w:szCs w:val="24"/>
              </w:rPr>
              <w:t xml:space="preserve"> Laws). An das </w:t>
            </w:r>
            <w:proofErr w:type="spellStart"/>
            <w:r w:rsidR="00784D76" w:rsidRPr="00784D76">
              <w:rPr>
                <w:i/>
                <w:iCs/>
                <w:sz w:val="24"/>
                <w:szCs w:val="24"/>
              </w:rPr>
              <w:t>Ptychio</w:t>
            </w:r>
            <w:proofErr w:type="spellEnd"/>
            <w:r w:rsidR="00784D76" w:rsidRPr="00784D76">
              <w:rPr>
                <w:sz w:val="24"/>
                <w:szCs w:val="24"/>
              </w:rPr>
              <w:t> kann sich ein postgraduales zweijähriges Masterstudium anschließen</w:t>
            </w:r>
            <w:r w:rsidR="007B1CBB">
              <w:rPr>
                <w:sz w:val="24"/>
                <w:szCs w:val="24"/>
              </w:rPr>
              <w:t xml:space="preserve">, das mit dem </w:t>
            </w:r>
            <w:proofErr w:type="spellStart"/>
            <w:r w:rsidR="007B1CBB" w:rsidRPr="001817C1">
              <w:rPr>
                <w:i/>
                <w:iCs/>
                <w:sz w:val="24"/>
                <w:szCs w:val="24"/>
              </w:rPr>
              <w:t>Metaptychiako</w:t>
            </w:r>
            <w:proofErr w:type="spellEnd"/>
            <w:r w:rsidR="007B1CBB" w:rsidRPr="001817C1">
              <w:rPr>
                <w:i/>
                <w:iCs/>
                <w:sz w:val="24"/>
                <w:szCs w:val="24"/>
              </w:rPr>
              <w:t xml:space="preserve"> </w:t>
            </w:r>
            <w:r w:rsidR="007B1CBB">
              <w:rPr>
                <w:sz w:val="24"/>
                <w:szCs w:val="24"/>
              </w:rPr>
              <w:t>endet.</w:t>
            </w:r>
          </w:p>
        </w:tc>
      </w:tr>
      <w:tr w:rsidR="00624043" w14:paraId="15891096" w14:textId="77777777" w:rsidTr="0054072E">
        <w:trPr>
          <w:trHeight w:val="567"/>
        </w:trPr>
        <w:tc>
          <w:tcPr>
            <w:tcW w:w="0" w:type="auto"/>
            <w:gridSpan w:val="2"/>
          </w:tcPr>
          <w:p w14:paraId="1FAD2957" w14:textId="77777777" w:rsidR="00624043" w:rsidRPr="00784D76" w:rsidRDefault="00784D76">
            <w:pPr>
              <w:rPr>
                <w:sz w:val="24"/>
                <w:szCs w:val="24"/>
              </w:rPr>
            </w:pPr>
            <w:r>
              <w:rPr>
                <w:sz w:val="24"/>
                <w:szCs w:val="24"/>
              </w:rPr>
              <w:t>Universitätsjahr</w:t>
            </w:r>
          </w:p>
        </w:tc>
        <w:tc>
          <w:tcPr>
            <w:tcW w:w="7124" w:type="dxa"/>
          </w:tcPr>
          <w:p w14:paraId="5117B50A" w14:textId="77777777" w:rsidR="00624043" w:rsidRDefault="007B1CBB">
            <w:r>
              <w:t xml:space="preserve">Das Universitätsjahr teilt sich in zwei Semester auf, wobei das Wintersemester im </w:t>
            </w:r>
            <w:r w:rsidR="00182E0F">
              <w:t>September beginnt und bis Ende Januar geht</w:t>
            </w:r>
            <w:r>
              <w:t xml:space="preserve"> und das Sommersemester im Februar beginnt</w:t>
            </w:r>
            <w:r w:rsidR="00182E0F">
              <w:t xml:space="preserve"> und bis Ende Mai geht.</w:t>
            </w:r>
            <w:r>
              <w:t xml:space="preserve"> </w:t>
            </w:r>
            <w:r w:rsidR="00182E0F">
              <w:t>Drei</w:t>
            </w:r>
            <w:r w:rsidRPr="007B1CBB">
              <w:t xml:space="preserve"> Wochen am Ende jedes Semesters sind für Prüfungen reserviert. </w:t>
            </w:r>
            <w:r w:rsidR="00182E0F">
              <w:t xml:space="preserve">Neben einzelnen Feiertagen haben die Studenten vorlesungsfreie Zeit im Juli und August, in der weder Kurse </w:t>
            </w:r>
            <w:proofErr w:type="gramStart"/>
            <w:r w:rsidR="00182E0F">
              <w:t>noch  Prüfungen</w:t>
            </w:r>
            <w:proofErr w:type="gramEnd"/>
            <w:r w:rsidR="00182E0F">
              <w:t xml:space="preserve"> stattfinden.</w:t>
            </w:r>
          </w:p>
        </w:tc>
      </w:tr>
      <w:tr w:rsidR="00624043" w14:paraId="28EAED33" w14:textId="77777777" w:rsidTr="0054072E">
        <w:trPr>
          <w:trHeight w:val="567"/>
        </w:trPr>
        <w:tc>
          <w:tcPr>
            <w:tcW w:w="0" w:type="auto"/>
            <w:gridSpan w:val="2"/>
          </w:tcPr>
          <w:p w14:paraId="464DF6B3" w14:textId="77777777" w:rsidR="00624043" w:rsidRPr="001817C1" w:rsidRDefault="001817C1">
            <w:pPr>
              <w:rPr>
                <w:sz w:val="24"/>
                <w:szCs w:val="24"/>
              </w:rPr>
            </w:pPr>
            <w:r>
              <w:rPr>
                <w:sz w:val="24"/>
                <w:szCs w:val="24"/>
              </w:rPr>
              <w:t>Veranstaltungen</w:t>
            </w:r>
          </w:p>
        </w:tc>
        <w:tc>
          <w:tcPr>
            <w:tcW w:w="7124" w:type="dxa"/>
          </w:tcPr>
          <w:p w14:paraId="37FE1150" w14:textId="77777777" w:rsidR="00624043" w:rsidRPr="001817C1" w:rsidRDefault="001817C1">
            <w:pPr>
              <w:rPr>
                <w:sz w:val="24"/>
                <w:szCs w:val="24"/>
              </w:rPr>
            </w:pPr>
            <w:r>
              <w:rPr>
                <w:sz w:val="24"/>
                <w:szCs w:val="24"/>
              </w:rPr>
              <w:t>Der Hauptbestandteil des akademischen Teils der Juristenausbildung sind Präsenzvorlesungen, auf denen dann auch die späteren Klausuren beruhen.</w:t>
            </w:r>
            <w:r w:rsidR="00F060E1">
              <w:rPr>
                <w:sz w:val="24"/>
                <w:szCs w:val="24"/>
              </w:rPr>
              <w:t xml:space="preserve"> Teilweise herrscht Anwesenheitspflicht.</w:t>
            </w:r>
          </w:p>
        </w:tc>
      </w:tr>
      <w:tr w:rsidR="00624043" w14:paraId="61E2D9AC" w14:textId="77777777" w:rsidTr="0054072E">
        <w:trPr>
          <w:trHeight w:val="567"/>
        </w:trPr>
        <w:tc>
          <w:tcPr>
            <w:tcW w:w="0" w:type="auto"/>
            <w:gridSpan w:val="2"/>
          </w:tcPr>
          <w:p w14:paraId="579A8DC6" w14:textId="77777777" w:rsidR="00624043" w:rsidRPr="00F060E1" w:rsidRDefault="00F060E1">
            <w:pPr>
              <w:rPr>
                <w:sz w:val="24"/>
                <w:szCs w:val="24"/>
              </w:rPr>
            </w:pPr>
            <w:r>
              <w:rPr>
                <w:sz w:val="24"/>
                <w:szCs w:val="24"/>
              </w:rPr>
              <w:t>Klausuren</w:t>
            </w:r>
          </w:p>
        </w:tc>
        <w:tc>
          <w:tcPr>
            <w:tcW w:w="7124" w:type="dxa"/>
          </w:tcPr>
          <w:p w14:paraId="5F3DD35F" w14:textId="77777777" w:rsidR="00624043" w:rsidRPr="00F060E1" w:rsidRDefault="00F060E1">
            <w:pPr>
              <w:rPr>
                <w:sz w:val="24"/>
                <w:szCs w:val="24"/>
              </w:rPr>
            </w:pPr>
            <w:r>
              <w:rPr>
                <w:sz w:val="24"/>
                <w:szCs w:val="24"/>
              </w:rPr>
              <w:t xml:space="preserve">Die Klausurenphasen sind im </w:t>
            </w:r>
            <w:r w:rsidR="00182E0F">
              <w:rPr>
                <w:sz w:val="24"/>
                <w:szCs w:val="24"/>
              </w:rPr>
              <w:t>Januar/</w:t>
            </w:r>
            <w:r>
              <w:rPr>
                <w:sz w:val="24"/>
                <w:szCs w:val="24"/>
              </w:rPr>
              <w:t xml:space="preserve">Februar und im </w:t>
            </w:r>
            <w:r w:rsidR="00182E0F">
              <w:rPr>
                <w:sz w:val="24"/>
                <w:szCs w:val="24"/>
              </w:rPr>
              <w:t>Juni</w:t>
            </w:r>
            <w:r>
              <w:rPr>
                <w:sz w:val="24"/>
                <w:szCs w:val="24"/>
              </w:rPr>
              <w:t xml:space="preserve"> am Ende des jeweiligen Semesters, die Prüfungen sind vorwiegend schriftlich.</w:t>
            </w:r>
            <w:r w:rsidR="00182E0F">
              <w:rPr>
                <w:sz w:val="24"/>
                <w:szCs w:val="24"/>
              </w:rPr>
              <w:t xml:space="preserve"> Wiederholungsklausuren sind in der Regel im September.</w:t>
            </w:r>
          </w:p>
        </w:tc>
      </w:tr>
      <w:tr w:rsidR="00624043" w14:paraId="7F0AD2EA" w14:textId="77777777" w:rsidTr="0054072E">
        <w:trPr>
          <w:trHeight w:val="567"/>
        </w:trPr>
        <w:tc>
          <w:tcPr>
            <w:tcW w:w="0" w:type="auto"/>
            <w:gridSpan w:val="2"/>
          </w:tcPr>
          <w:p w14:paraId="56C5867B" w14:textId="77777777" w:rsidR="00624043" w:rsidRPr="00F060E1" w:rsidRDefault="00F060E1">
            <w:pPr>
              <w:rPr>
                <w:sz w:val="24"/>
                <w:szCs w:val="24"/>
              </w:rPr>
            </w:pPr>
            <w:r>
              <w:rPr>
                <w:sz w:val="24"/>
                <w:szCs w:val="24"/>
              </w:rPr>
              <w:t>Bewertung</w:t>
            </w:r>
          </w:p>
        </w:tc>
        <w:tc>
          <w:tcPr>
            <w:tcW w:w="7124" w:type="dxa"/>
          </w:tcPr>
          <w:p w14:paraId="72C50535" w14:textId="77777777" w:rsidR="00624043" w:rsidRDefault="00F060E1">
            <w:pPr>
              <w:rPr>
                <w:sz w:val="24"/>
                <w:szCs w:val="24"/>
              </w:rPr>
            </w:pPr>
            <w:r w:rsidRPr="00F060E1">
              <w:rPr>
                <w:sz w:val="24"/>
                <w:szCs w:val="24"/>
              </w:rPr>
              <w:t> Prüfungen sind bestanden, wenn auf einer</w:t>
            </w:r>
            <w:r>
              <w:rPr>
                <w:sz w:val="24"/>
                <w:szCs w:val="24"/>
              </w:rPr>
              <w:t xml:space="preserve"> Notenskala</w:t>
            </w:r>
            <w:r w:rsidRPr="00F060E1">
              <w:rPr>
                <w:sz w:val="24"/>
                <w:szCs w:val="24"/>
              </w:rPr>
              <w:t> von 1 bis 10 mindestens 5 Punkte erreicht wurden</w:t>
            </w:r>
            <w:r>
              <w:rPr>
                <w:sz w:val="24"/>
                <w:szCs w:val="24"/>
              </w:rPr>
              <w:t>.</w:t>
            </w:r>
          </w:p>
          <w:p w14:paraId="0B65AB02" w14:textId="77777777" w:rsidR="009A1816" w:rsidRDefault="009A1816">
            <w:pPr>
              <w:rPr>
                <w:sz w:val="24"/>
                <w:szCs w:val="24"/>
              </w:rPr>
            </w:pPr>
            <w:r>
              <w:rPr>
                <w:sz w:val="24"/>
                <w:szCs w:val="24"/>
              </w:rPr>
              <w:t xml:space="preserve">Umrechnungstabelle:            </w:t>
            </w:r>
          </w:p>
          <w:tbl>
            <w:tblPr>
              <w:tblStyle w:val="HelleListe-Akzent3"/>
              <w:tblW w:w="0" w:type="auto"/>
              <w:tblLook w:val="0620" w:firstRow="1" w:lastRow="0" w:firstColumn="0" w:lastColumn="0" w:noHBand="1" w:noVBand="1"/>
            </w:tblPr>
            <w:tblGrid>
              <w:gridCol w:w="1357"/>
              <w:gridCol w:w="1437"/>
            </w:tblGrid>
            <w:tr w:rsidR="009A1816" w14:paraId="25C33434" w14:textId="77777777" w:rsidTr="001E0FF9">
              <w:trPr>
                <w:cnfStyle w:val="100000000000" w:firstRow="1" w:lastRow="0" w:firstColumn="0" w:lastColumn="0" w:oddVBand="0" w:evenVBand="0" w:oddHBand="0" w:evenHBand="0" w:firstRowFirstColumn="0" w:firstRowLastColumn="0" w:lastRowFirstColumn="0" w:lastRowLastColumn="0"/>
              </w:trPr>
              <w:tc>
                <w:tcPr>
                  <w:tcW w:w="0" w:type="auto"/>
                </w:tcPr>
                <w:p w14:paraId="565E1CCE" w14:textId="77777777" w:rsidR="009A1816" w:rsidRDefault="009A1816">
                  <w:r>
                    <w:t>Deutschland</w:t>
                  </w:r>
                </w:p>
              </w:tc>
              <w:tc>
                <w:tcPr>
                  <w:tcW w:w="0" w:type="auto"/>
                </w:tcPr>
                <w:p w14:paraId="7383E3B3" w14:textId="77777777" w:rsidR="009A1816" w:rsidRDefault="009A1816">
                  <w:r>
                    <w:t>Griechenland</w:t>
                  </w:r>
                </w:p>
              </w:tc>
            </w:tr>
            <w:tr w:rsidR="009A1816" w14:paraId="3C3F1508" w14:textId="77777777" w:rsidTr="001E0FF9">
              <w:tc>
                <w:tcPr>
                  <w:tcW w:w="0" w:type="auto"/>
                </w:tcPr>
                <w:p w14:paraId="4CB67134" w14:textId="77777777" w:rsidR="009A1816" w:rsidRDefault="009A1816">
                  <w:r>
                    <w:t>16-18</w:t>
                  </w:r>
                </w:p>
              </w:tc>
              <w:tc>
                <w:tcPr>
                  <w:tcW w:w="0" w:type="auto"/>
                </w:tcPr>
                <w:p w14:paraId="0E21A838" w14:textId="77777777" w:rsidR="009A1816" w:rsidRDefault="009A1816">
                  <w:r>
                    <w:t>10</w:t>
                  </w:r>
                </w:p>
              </w:tc>
            </w:tr>
            <w:tr w:rsidR="009A1816" w14:paraId="0B6DCD82" w14:textId="77777777" w:rsidTr="001E0FF9">
              <w:tc>
                <w:tcPr>
                  <w:tcW w:w="0" w:type="auto"/>
                </w:tcPr>
                <w:p w14:paraId="5B169F95" w14:textId="77777777" w:rsidR="009A1816" w:rsidRDefault="009A1816">
                  <w:r>
                    <w:t>13-15</w:t>
                  </w:r>
                </w:p>
              </w:tc>
              <w:tc>
                <w:tcPr>
                  <w:tcW w:w="0" w:type="auto"/>
                </w:tcPr>
                <w:p w14:paraId="0DF50281" w14:textId="77777777" w:rsidR="009A1816" w:rsidRDefault="009A1816">
                  <w:r>
                    <w:t>9,5</w:t>
                  </w:r>
                </w:p>
              </w:tc>
            </w:tr>
            <w:tr w:rsidR="009A1816" w14:paraId="7C45AD82" w14:textId="77777777" w:rsidTr="001E0FF9">
              <w:tc>
                <w:tcPr>
                  <w:tcW w:w="0" w:type="auto"/>
                </w:tcPr>
                <w:p w14:paraId="0E71A203" w14:textId="77777777" w:rsidR="009A1816" w:rsidRDefault="009A1816">
                  <w:r>
                    <w:t>11-12</w:t>
                  </w:r>
                </w:p>
              </w:tc>
              <w:tc>
                <w:tcPr>
                  <w:tcW w:w="0" w:type="auto"/>
                </w:tcPr>
                <w:p w14:paraId="3860FFE4" w14:textId="77777777" w:rsidR="009A1816" w:rsidRDefault="009A1816">
                  <w:r>
                    <w:t>9</w:t>
                  </w:r>
                </w:p>
              </w:tc>
            </w:tr>
            <w:tr w:rsidR="009A1816" w14:paraId="65B889C1" w14:textId="77777777" w:rsidTr="001E0FF9">
              <w:tc>
                <w:tcPr>
                  <w:tcW w:w="0" w:type="auto"/>
                </w:tcPr>
                <w:p w14:paraId="181E52B5" w14:textId="77777777" w:rsidR="009A1816" w:rsidRDefault="009A1816">
                  <w:r>
                    <w:t>10</w:t>
                  </w:r>
                </w:p>
              </w:tc>
              <w:tc>
                <w:tcPr>
                  <w:tcW w:w="0" w:type="auto"/>
                </w:tcPr>
                <w:p w14:paraId="5E57B49B" w14:textId="77777777" w:rsidR="009A1816" w:rsidRDefault="009A1816">
                  <w:r>
                    <w:t>8,5-8</w:t>
                  </w:r>
                </w:p>
              </w:tc>
            </w:tr>
            <w:tr w:rsidR="009A1816" w14:paraId="4704E3FE" w14:textId="77777777" w:rsidTr="001E0FF9">
              <w:tc>
                <w:tcPr>
                  <w:tcW w:w="0" w:type="auto"/>
                </w:tcPr>
                <w:p w14:paraId="73899D15" w14:textId="77777777" w:rsidR="009A1816" w:rsidRDefault="009A1816">
                  <w:r>
                    <w:t>9</w:t>
                  </w:r>
                </w:p>
              </w:tc>
              <w:tc>
                <w:tcPr>
                  <w:tcW w:w="0" w:type="auto"/>
                </w:tcPr>
                <w:p w14:paraId="015C2505" w14:textId="77777777" w:rsidR="009A1816" w:rsidRDefault="009A1816">
                  <w:r>
                    <w:t>7,5</w:t>
                  </w:r>
                </w:p>
              </w:tc>
            </w:tr>
            <w:tr w:rsidR="009A1816" w14:paraId="2DF7D478" w14:textId="77777777" w:rsidTr="001E0FF9">
              <w:tc>
                <w:tcPr>
                  <w:tcW w:w="0" w:type="auto"/>
                </w:tcPr>
                <w:p w14:paraId="21AB6370" w14:textId="77777777" w:rsidR="009A1816" w:rsidRDefault="009A1816">
                  <w:r>
                    <w:t>8</w:t>
                  </w:r>
                </w:p>
              </w:tc>
              <w:tc>
                <w:tcPr>
                  <w:tcW w:w="0" w:type="auto"/>
                </w:tcPr>
                <w:p w14:paraId="47128EA9" w14:textId="77777777" w:rsidR="009A1816" w:rsidRDefault="009A1816">
                  <w:r>
                    <w:t>7</w:t>
                  </w:r>
                </w:p>
              </w:tc>
            </w:tr>
            <w:tr w:rsidR="009A1816" w14:paraId="7D8EFA68" w14:textId="77777777" w:rsidTr="001E0FF9">
              <w:tc>
                <w:tcPr>
                  <w:tcW w:w="0" w:type="auto"/>
                </w:tcPr>
                <w:p w14:paraId="179EC8BA" w14:textId="77777777" w:rsidR="009A1816" w:rsidRDefault="009A1816">
                  <w:r>
                    <w:t>7</w:t>
                  </w:r>
                </w:p>
              </w:tc>
              <w:tc>
                <w:tcPr>
                  <w:tcW w:w="0" w:type="auto"/>
                </w:tcPr>
                <w:p w14:paraId="418745D6" w14:textId="77777777" w:rsidR="009A1816" w:rsidRDefault="009A1816">
                  <w:r>
                    <w:t>6,5</w:t>
                  </w:r>
                </w:p>
              </w:tc>
            </w:tr>
            <w:tr w:rsidR="009A1816" w14:paraId="4A795C93" w14:textId="77777777" w:rsidTr="001E0FF9">
              <w:tc>
                <w:tcPr>
                  <w:tcW w:w="0" w:type="auto"/>
                </w:tcPr>
                <w:p w14:paraId="7129558C" w14:textId="77777777" w:rsidR="009A1816" w:rsidRDefault="009A1816">
                  <w:r>
                    <w:t>6</w:t>
                  </w:r>
                </w:p>
              </w:tc>
              <w:tc>
                <w:tcPr>
                  <w:tcW w:w="0" w:type="auto"/>
                </w:tcPr>
                <w:p w14:paraId="59C3E01B" w14:textId="77777777" w:rsidR="009A1816" w:rsidRDefault="009A1816">
                  <w:r>
                    <w:t>6</w:t>
                  </w:r>
                </w:p>
              </w:tc>
            </w:tr>
            <w:tr w:rsidR="009A1816" w14:paraId="29FF25E4" w14:textId="77777777" w:rsidTr="001E0FF9">
              <w:tc>
                <w:tcPr>
                  <w:tcW w:w="0" w:type="auto"/>
                </w:tcPr>
                <w:p w14:paraId="2CE15B68" w14:textId="77777777" w:rsidR="009A1816" w:rsidRDefault="009A1816">
                  <w:r>
                    <w:t>5</w:t>
                  </w:r>
                </w:p>
              </w:tc>
              <w:tc>
                <w:tcPr>
                  <w:tcW w:w="0" w:type="auto"/>
                </w:tcPr>
                <w:p w14:paraId="5C7C5CC0" w14:textId="77777777" w:rsidR="009A1816" w:rsidRDefault="009A1816">
                  <w:r>
                    <w:t>5,5</w:t>
                  </w:r>
                </w:p>
              </w:tc>
            </w:tr>
            <w:tr w:rsidR="009A1816" w14:paraId="104D64B9" w14:textId="77777777" w:rsidTr="001E0FF9">
              <w:tc>
                <w:tcPr>
                  <w:tcW w:w="0" w:type="auto"/>
                </w:tcPr>
                <w:p w14:paraId="3C5D6422" w14:textId="77777777" w:rsidR="009A1816" w:rsidRDefault="009A1816">
                  <w:r>
                    <w:t>4</w:t>
                  </w:r>
                </w:p>
              </w:tc>
              <w:tc>
                <w:tcPr>
                  <w:tcW w:w="0" w:type="auto"/>
                </w:tcPr>
                <w:p w14:paraId="65D7510E" w14:textId="77777777" w:rsidR="009A1816" w:rsidRDefault="009A1816">
                  <w:r>
                    <w:t>5</w:t>
                  </w:r>
                </w:p>
              </w:tc>
            </w:tr>
            <w:tr w:rsidR="009A1816" w14:paraId="1A0C5035" w14:textId="77777777" w:rsidTr="001E0FF9">
              <w:tc>
                <w:tcPr>
                  <w:tcW w:w="0" w:type="auto"/>
                </w:tcPr>
                <w:p w14:paraId="041DD07F" w14:textId="77777777" w:rsidR="009A1816" w:rsidRDefault="009A1816">
                  <w:r>
                    <w:t>0-3</w:t>
                  </w:r>
                </w:p>
              </w:tc>
              <w:tc>
                <w:tcPr>
                  <w:tcW w:w="0" w:type="auto"/>
                </w:tcPr>
                <w:p w14:paraId="06D44FF6" w14:textId="77777777" w:rsidR="009A1816" w:rsidRDefault="009A1816">
                  <w:r>
                    <w:t>&lt;5</w:t>
                  </w:r>
                </w:p>
              </w:tc>
            </w:tr>
          </w:tbl>
          <w:p w14:paraId="656DD1CD" w14:textId="77777777" w:rsidR="00EA7433" w:rsidRPr="00F060E1" w:rsidRDefault="00EA7433">
            <w:pPr>
              <w:rPr>
                <w:sz w:val="24"/>
                <w:szCs w:val="24"/>
              </w:rPr>
            </w:pPr>
            <w:r>
              <w:rPr>
                <w:sz w:val="24"/>
                <w:szCs w:val="24"/>
              </w:rPr>
              <w:t>Notenskala:</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648"/>
              <w:gridCol w:w="36"/>
              <w:gridCol w:w="36"/>
            </w:tblGrid>
            <w:tr w:rsidR="00EA7433" w:rsidRPr="00EA7433" w14:paraId="18A30047" w14:textId="77777777" w:rsidTr="00EA7433">
              <w:trPr>
                <w:gridAfter w:val="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6896D" w14:textId="77777777" w:rsidR="00EA7433" w:rsidRPr="00EA7433" w:rsidRDefault="00EA7433" w:rsidP="00EA7433">
                  <w:pPr>
                    <w:spacing w:before="240" w:after="240" w:line="240" w:lineRule="auto"/>
                    <w:rPr>
                      <w:rFonts w:ascii="Arial" w:eastAsia="Times New Roman" w:hAnsi="Arial" w:cs="Arial"/>
                      <w:color w:val="222222"/>
                      <w:sz w:val="21"/>
                      <w:szCs w:val="21"/>
                      <w:lang w:eastAsia="de-DE"/>
                    </w:rPr>
                  </w:pPr>
                  <w:proofErr w:type="spellStart"/>
                  <w:r w:rsidRPr="00EA7433">
                    <w:rPr>
                      <w:rFonts w:ascii="Arial" w:eastAsia="Times New Roman" w:hAnsi="Arial" w:cs="Arial"/>
                      <w:b/>
                      <w:bCs/>
                      <w:color w:val="222222"/>
                      <w:sz w:val="21"/>
                      <w:szCs w:val="21"/>
                      <w:lang w:eastAsia="de-DE"/>
                    </w:rPr>
                    <w:t>Ἀριστ</w:t>
                  </w:r>
                  <w:proofErr w:type="spellEnd"/>
                  <w:r w:rsidRPr="00EA7433">
                    <w:rPr>
                      <w:rFonts w:ascii="Arial" w:eastAsia="Times New Roman" w:hAnsi="Arial" w:cs="Arial"/>
                      <w:b/>
                      <w:bCs/>
                      <w:color w:val="222222"/>
                      <w:sz w:val="21"/>
                      <w:szCs w:val="21"/>
                      <w:lang w:eastAsia="de-DE"/>
                    </w:rPr>
                    <w:t>α</w:t>
                  </w:r>
                  <w:r w:rsidRPr="00EA7433">
                    <w:rPr>
                      <w:rFonts w:ascii="Arial" w:eastAsia="Times New Roman" w:hAnsi="Arial" w:cs="Arial"/>
                      <w:color w:val="222222"/>
                      <w:sz w:val="21"/>
                      <w:szCs w:val="21"/>
                      <w:lang w:eastAsia="de-DE"/>
                    </w:rPr>
                    <w:t> (</w:t>
                  </w:r>
                  <w:r w:rsidRPr="00EA7433">
                    <w:rPr>
                      <w:rFonts w:ascii="Arial" w:eastAsia="Times New Roman" w:hAnsi="Arial" w:cs="Arial"/>
                      <w:i/>
                      <w:iCs/>
                      <w:color w:val="222222"/>
                      <w:sz w:val="21"/>
                      <w:szCs w:val="21"/>
                      <w:lang w:eastAsia="de-DE"/>
                    </w:rPr>
                    <w:t>Arista, hervorragend</w:t>
                  </w:r>
                  <w:r w:rsidRPr="00EA7433">
                    <w:rPr>
                      <w:rFonts w:ascii="Arial" w:eastAsia="Times New Roman" w:hAnsi="Arial" w:cs="Arial"/>
                      <w:color w:val="222222"/>
                      <w:sz w:val="21"/>
                      <w:szCs w:val="21"/>
                      <w:lang w:eastAsia="de-DE"/>
                    </w:rPr>
                    <w:t>) </w:t>
                  </w:r>
                  <w:r w:rsidRPr="00EA7433">
                    <w:rPr>
                      <w:rFonts w:ascii="Arial" w:eastAsia="Times New Roman" w:hAnsi="Arial" w:cs="Arial"/>
                      <w:b/>
                      <w:bCs/>
                      <w:color w:val="222222"/>
                      <w:sz w:val="21"/>
                      <w:szCs w:val="21"/>
                      <w:lang w:eastAsia="de-DE"/>
                    </w:rPr>
                    <w:t>(8.50 – 10.00)</w:t>
                  </w:r>
                </w:p>
              </w:tc>
            </w:tr>
            <w:tr w:rsidR="00EA7433" w:rsidRPr="00EA7433" w14:paraId="1B42838A" w14:textId="77777777" w:rsidTr="00EA7433">
              <w:trPr>
                <w:gridAfter w:val="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E69ED" w14:textId="77777777" w:rsidR="00EA7433" w:rsidRPr="00EA7433" w:rsidRDefault="00EA7433" w:rsidP="00EA7433">
                  <w:pPr>
                    <w:spacing w:before="240" w:after="240" w:line="240" w:lineRule="auto"/>
                    <w:rPr>
                      <w:rFonts w:ascii="Arial" w:eastAsia="Times New Roman" w:hAnsi="Arial" w:cs="Arial"/>
                      <w:color w:val="222222"/>
                      <w:sz w:val="21"/>
                      <w:szCs w:val="21"/>
                      <w:lang w:eastAsia="de-DE"/>
                    </w:rPr>
                  </w:pPr>
                  <w:proofErr w:type="spellStart"/>
                  <w:r w:rsidRPr="00EA7433">
                    <w:rPr>
                      <w:rFonts w:ascii="Arial" w:eastAsia="Times New Roman" w:hAnsi="Arial" w:cs="Arial"/>
                      <w:b/>
                      <w:bCs/>
                      <w:color w:val="222222"/>
                      <w:sz w:val="21"/>
                      <w:szCs w:val="21"/>
                      <w:lang w:eastAsia="de-DE"/>
                    </w:rPr>
                    <w:t>Λί</w:t>
                  </w:r>
                  <w:proofErr w:type="spellEnd"/>
                  <w:r w:rsidRPr="00EA7433">
                    <w:rPr>
                      <w:rFonts w:ascii="Arial" w:eastAsia="Times New Roman" w:hAnsi="Arial" w:cs="Arial"/>
                      <w:b/>
                      <w:bCs/>
                      <w:color w:val="222222"/>
                      <w:sz w:val="21"/>
                      <w:szCs w:val="21"/>
                      <w:lang w:eastAsia="de-DE"/>
                    </w:rPr>
                    <w:t>αν Κα</w:t>
                  </w:r>
                  <w:proofErr w:type="spellStart"/>
                  <w:r w:rsidRPr="00EA7433">
                    <w:rPr>
                      <w:rFonts w:ascii="Arial" w:eastAsia="Times New Roman" w:hAnsi="Arial" w:cs="Arial"/>
                      <w:b/>
                      <w:bCs/>
                      <w:color w:val="222222"/>
                      <w:sz w:val="21"/>
                      <w:szCs w:val="21"/>
                      <w:lang w:eastAsia="de-DE"/>
                    </w:rPr>
                    <w:t>λώς</w:t>
                  </w:r>
                  <w:proofErr w:type="spellEnd"/>
                  <w:r w:rsidRPr="00EA7433">
                    <w:rPr>
                      <w:rFonts w:ascii="Arial" w:eastAsia="Times New Roman" w:hAnsi="Arial" w:cs="Arial"/>
                      <w:color w:val="222222"/>
                      <w:sz w:val="21"/>
                      <w:szCs w:val="21"/>
                      <w:lang w:eastAsia="de-DE"/>
                    </w:rPr>
                    <w:t> (</w:t>
                  </w:r>
                  <w:proofErr w:type="spellStart"/>
                  <w:r w:rsidRPr="00EA7433">
                    <w:rPr>
                      <w:rFonts w:ascii="Arial" w:eastAsia="Times New Roman" w:hAnsi="Arial" w:cs="Arial"/>
                      <w:i/>
                      <w:iCs/>
                      <w:color w:val="222222"/>
                      <w:sz w:val="21"/>
                      <w:szCs w:val="21"/>
                      <w:lang w:eastAsia="de-DE"/>
                    </w:rPr>
                    <w:t>Lian</w:t>
                  </w:r>
                  <w:proofErr w:type="spellEnd"/>
                  <w:r w:rsidRPr="00EA7433">
                    <w:rPr>
                      <w:rFonts w:ascii="Arial" w:eastAsia="Times New Roman" w:hAnsi="Arial" w:cs="Arial"/>
                      <w:i/>
                      <w:iCs/>
                      <w:color w:val="222222"/>
                      <w:sz w:val="21"/>
                      <w:szCs w:val="21"/>
                      <w:lang w:eastAsia="de-DE"/>
                    </w:rPr>
                    <w:t xml:space="preserve"> </w:t>
                  </w:r>
                  <w:proofErr w:type="spellStart"/>
                  <w:r w:rsidRPr="00EA7433">
                    <w:rPr>
                      <w:rFonts w:ascii="Arial" w:eastAsia="Times New Roman" w:hAnsi="Arial" w:cs="Arial"/>
                      <w:i/>
                      <w:iCs/>
                      <w:color w:val="222222"/>
                      <w:sz w:val="21"/>
                      <w:szCs w:val="21"/>
                      <w:lang w:eastAsia="de-DE"/>
                    </w:rPr>
                    <w:t>kalos</w:t>
                  </w:r>
                  <w:proofErr w:type="spellEnd"/>
                  <w:r w:rsidRPr="00EA7433">
                    <w:rPr>
                      <w:rFonts w:ascii="Arial" w:eastAsia="Times New Roman" w:hAnsi="Arial" w:cs="Arial"/>
                      <w:i/>
                      <w:iCs/>
                      <w:color w:val="222222"/>
                      <w:sz w:val="21"/>
                      <w:szCs w:val="21"/>
                      <w:lang w:eastAsia="de-DE"/>
                    </w:rPr>
                    <w:t>, sehr gut</w:t>
                  </w:r>
                  <w:r w:rsidRPr="00EA7433">
                    <w:rPr>
                      <w:rFonts w:ascii="Arial" w:eastAsia="Times New Roman" w:hAnsi="Arial" w:cs="Arial"/>
                      <w:color w:val="222222"/>
                      <w:sz w:val="21"/>
                      <w:szCs w:val="21"/>
                      <w:lang w:eastAsia="de-DE"/>
                    </w:rPr>
                    <w:t>) </w:t>
                  </w:r>
                  <w:r w:rsidRPr="00EA7433">
                    <w:rPr>
                      <w:rFonts w:ascii="Arial" w:eastAsia="Times New Roman" w:hAnsi="Arial" w:cs="Arial"/>
                      <w:b/>
                      <w:bCs/>
                      <w:color w:val="222222"/>
                      <w:sz w:val="21"/>
                      <w:szCs w:val="21"/>
                      <w:lang w:eastAsia="de-DE"/>
                    </w:rPr>
                    <w:t>(6.50 – 8.50)</w:t>
                  </w:r>
                </w:p>
              </w:tc>
            </w:tr>
            <w:tr w:rsidR="00EA7433" w:rsidRPr="00EA7433" w14:paraId="2F567F97" w14:textId="77777777" w:rsidTr="00EA74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BD01D3" w14:textId="77777777" w:rsidR="00EA7433" w:rsidRPr="00EA7433" w:rsidRDefault="00EA7433" w:rsidP="00EA7433">
                  <w:pPr>
                    <w:spacing w:before="240" w:after="240" w:line="240" w:lineRule="auto"/>
                    <w:rPr>
                      <w:rFonts w:ascii="Arial" w:eastAsia="Times New Roman" w:hAnsi="Arial" w:cs="Arial"/>
                      <w:color w:val="222222"/>
                      <w:sz w:val="21"/>
                      <w:szCs w:val="21"/>
                      <w:lang w:eastAsia="de-DE"/>
                    </w:rPr>
                  </w:pPr>
                  <w:r w:rsidRPr="00EA7433">
                    <w:rPr>
                      <w:rFonts w:ascii="Arial" w:eastAsia="Times New Roman" w:hAnsi="Arial" w:cs="Arial"/>
                      <w:b/>
                      <w:bCs/>
                      <w:color w:val="222222"/>
                      <w:sz w:val="21"/>
                      <w:szCs w:val="21"/>
                      <w:lang w:eastAsia="de-DE"/>
                    </w:rPr>
                    <w:t>Κα</w:t>
                  </w:r>
                  <w:proofErr w:type="spellStart"/>
                  <w:r w:rsidRPr="00EA7433">
                    <w:rPr>
                      <w:rFonts w:ascii="Arial" w:eastAsia="Times New Roman" w:hAnsi="Arial" w:cs="Arial"/>
                      <w:b/>
                      <w:bCs/>
                      <w:color w:val="222222"/>
                      <w:sz w:val="21"/>
                      <w:szCs w:val="21"/>
                      <w:lang w:eastAsia="de-DE"/>
                    </w:rPr>
                    <w:t>λώς</w:t>
                  </w:r>
                  <w:proofErr w:type="spellEnd"/>
                  <w:r w:rsidRPr="00EA7433">
                    <w:rPr>
                      <w:rFonts w:ascii="Arial" w:eastAsia="Times New Roman" w:hAnsi="Arial" w:cs="Arial"/>
                      <w:color w:val="222222"/>
                      <w:sz w:val="21"/>
                      <w:szCs w:val="21"/>
                      <w:lang w:eastAsia="de-DE"/>
                    </w:rPr>
                    <w:t> (</w:t>
                  </w:r>
                  <w:proofErr w:type="spellStart"/>
                  <w:r w:rsidRPr="00EA7433">
                    <w:rPr>
                      <w:rFonts w:ascii="Arial" w:eastAsia="Times New Roman" w:hAnsi="Arial" w:cs="Arial"/>
                      <w:i/>
                      <w:iCs/>
                      <w:color w:val="222222"/>
                      <w:sz w:val="21"/>
                      <w:szCs w:val="21"/>
                      <w:lang w:eastAsia="de-DE"/>
                    </w:rPr>
                    <w:t>kalos</w:t>
                  </w:r>
                  <w:proofErr w:type="spellEnd"/>
                  <w:r w:rsidRPr="00EA7433">
                    <w:rPr>
                      <w:rFonts w:ascii="Arial" w:eastAsia="Times New Roman" w:hAnsi="Arial" w:cs="Arial"/>
                      <w:i/>
                      <w:iCs/>
                      <w:color w:val="222222"/>
                      <w:sz w:val="21"/>
                      <w:szCs w:val="21"/>
                      <w:lang w:eastAsia="de-DE"/>
                    </w:rPr>
                    <w:t>, Gut</w:t>
                  </w:r>
                  <w:r w:rsidRPr="00EA7433">
                    <w:rPr>
                      <w:rFonts w:ascii="Arial" w:eastAsia="Times New Roman" w:hAnsi="Arial" w:cs="Arial"/>
                      <w:color w:val="222222"/>
                      <w:sz w:val="21"/>
                      <w:szCs w:val="21"/>
                      <w:lang w:eastAsia="de-DE"/>
                    </w:rPr>
                    <w:t>) </w:t>
                  </w:r>
                  <w:r w:rsidRPr="00EA7433">
                    <w:rPr>
                      <w:rFonts w:ascii="Arial" w:eastAsia="Times New Roman" w:hAnsi="Arial" w:cs="Arial"/>
                      <w:b/>
                      <w:bCs/>
                      <w:color w:val="222222"/>
                      <w:sz w:val="21"/>
                      <w:szCs w:val="21"/>
                      <w:lang w:eastAsia="de-DE"/>
                    </w:rPr>
                    <w:t>(5.00 – 6.49)</w:t>
                  </w:r>
                </w:p>
              </w:tc>
              <w:tc>
                <w:tcPr>
                  <w:tcW w:w="0" w:type="auto"/>
                  <w:shd w:val="clear" w:color="auto" w:fill="F8F9FA"/>
                  <w:vAlign w:val="center"/>
                  <w:hideMark/>
                </w:tcPr>
                <w:p w14:paraId="2AFBDA70" w14:textId="77777777" w:rsidR="00EA7433" w:rsidRPr="00EA7433" w:rsidRDefault="00EA7433" w:rsidP="00EA7433">
                  <w:pPr>
                    <w:spacing w:before="240" w:after="240" w:line="240" w:lineRule="auto"/>
                    <w:rPr>
                      <w:rFonts w:ascii="Times New Roman" w:eastAsia="Times New Roman" w:hAnsi="Times New Roman" w:cs="Times New Roman"/>
                      <w:sz w:val="20"/>
                      <w:szCs w:val="20"/>
                      <w:lang w:eastAsia="de-DE"/>
                    </w:rPr>
                  </w:pPr>
                </w:p>
              </w:tc>
              <w:tc>
                <w:tcPr>
                  <w:tcW w:w="0" w:type="auto"/>
                  <w:shd w:val="clear" w:color="auto" w:fill="F8F9FA"/>
                  <w:vAlign w:val="center"/>
                  <w:hideMark/>
                </w:tcPr>
                <w:p w14:paraId="1AF7CBEA" w14:textId="77777777" w:rsidR="00EA7433" w:rsidRPr="00EA7433" w:rsidRDefault="00EA7433" w:rsidP="00EA7433">
                  <w:pPr>
                    <w:spacing w:before="240" w:after="240" w:line="240" w:lineRule="auto"/>
                    <w:rPr>
                      <w:rFonts w:ascii="Times New Roman" w:eastAsia="Times New Roman" w:hAnsi="Times New Roman" w:cs="Times New Roman"/>
                      <w:sz w:val="20"/>
                      <w:szCs w:val="20"/>
                      <w:lang w:eastAsia="de-DE"/>
                    </w:rPr>
                  </w:pPr>
                </w:p>
              </w:tc>
            </w:tr>
          </w:tbl>
          <w:p w14:paraId="24698472" w14:textId="77777777" w:rsidR="009A1816" w:rsidRPr="00F060E1" w:rsidRDefault="009A1816">
            <w:pPr>
              <w:rPr>
                <w:sz w:val="24"/>
                <w:szCs w:val="24"/>
              </w:rPr>
            </w:pPr>
          </w:p>
        </w:tc>
      </w:tr>
      <w:tr w:rsidR="00624043" w14:paraId="5E8527AA" w14:textId="77777777" w:rsidTr="0054072E">
        <w:trPr>
          <w:trHeight w:val="567"/>
        </w:trPr>
        <w:tc>
          <w:tcPr>
            <w:tcW w:w="0" w:type="auto"/>
            <w:gridSpan w:val="2"/>
          </w:tcPr>
          <w:p w14:paraId="5D4A627A" w14:textId="77777777" w:rsidR="00624043" w:rsidRPr="0014223E" w:rsidRDefault="0014223E">
            <w:pPr>
              <w:rPr>
                <w:sz w:val="24"/>
                <w:szCs w:val="24"/>
              </w:rPr>
            </w:pPr>
            <w:r>
              <w:rPr>
                <w:sz w:val="24"/>
                <w:szCs w:val="24"/>
              </w:rPr>
              <w:t>Sprachkenntnisse</w:t>
            </w:r>
          </w:p>
        </w:tc>
        <w:tc>
          <w:tcPr>
            <w:tcW w:w="7124" w:type="dxa"/>
          </w:tcPr>
          <w:p w14:paraId="09B0CBC0" w14:textId="15E844F4" w:rsidR="00624043" w:rsidRPr="0014223E" w:rsidRDefault="0014223E">
            <w:pPr>
              <w:rPr>
                <w:sz w:val="24"/>
                <w:szCs w:val="24"/>
              </w:rPr>
            </w:pPr>
            <w:r>
              <w:rPr>
                <w:sz w:val="24"/>
                <w:szCs w:val="24"/>
              </w:rPr>
              <w:t>Grundsätzlich sollte ein Mindestniveau von B1</w:t>
            </w:r>
            <w:r w:rsidR="0054072E">
              <w:rPr>
                <w:sz w:val="24"/>
                <w:szCs w:val="24"/>
              </w:rPr>
              <w:t xml:space="preserve"> anzustreben sein, es ist aber hervorzuheben, dass Erasmuskurse für Jurastudenten teilweise nicht nur auf </w:t>
            </w:r>
            <w:proofErr w:type="gramStart"/>
            <w:r w:rsidR="0054072E">
              <w:rPr>
                <w:sz w:val="24"/>
                <w:szCs w:val="24"/>
              </w:rPr>
              <w:t>Griechisch</w:t>
            </w:r>
            <w:proofErr w:type="gramEnd"/>
            <w:r w:rsidR="0054072E">
              <w:rPr>
                <w:sz w:val="24"/>
                <w:szCs w:val="24"/>
              </w:rPr>
              <w:t xml:space="preserve"> sondern auch auf Englisch, Französisch oder </w:t>
            </w:r>
            <w:r w:rsidR="0054072E">
              <w:rPr>
                <w:sz w:val="24"/>
                <w:szCs w:val="24"/>
              </w:rPr>
              <w:lastRenderedPageBreak/>
              <w:t>gar Deutsch gelehrt werden, dies kann muss im Einzelfall die Uni betreffend geklärt werden</w:t>
            </w:r>
            <w:r w:rsidR="00BA131D">
              <w:rPr>
                <w:sz w:val="24"/>
                <w:szCs w:val="24"/>
              </w:rPr>
              <w:t>.</w:t>
            </w:r>
          </w:p>
        </w:tc>
      </w:tr>
      <w:tr w:rsidR="00624043" w14:paraId="79A167EB" w14:textId="77777777" w:rsidTr="0054072E">
        <w:trPr>
          <w:trHeight w:val="567"/>
        </w:trPr>
        <w:tc>
          <w:tcPr>
            <w:tcW w:w="0" w:type="auto"/>
            <w:gridSpan w:val="2"/>
          </w:tcPr>
          <w:p w14:paraId="354F9753" w14:textId="77777777" w:rsidR="00624043" w:rsidRPr="0054072E" w:rsidRDefault="0054072E">
            <w:pPr>
              <w:rPr>
                <w:sz w:val="24"/>
                <w:szCs w:val="24"/>
              </w:rPr>
            </w:pPr>
            <w:r>
              <w:rPr>
                <w:sz w:val="24"/>
                <w:szCs w:val="24"/>
              </w:rPr>
              <w:lastRenderedPageBreak/>
              <w:t>Sonstiges</w:t>
            </w:r>
          </w:p>
        </w:tc>
        <w:tc>
          <w:tcPr>
            <w:tcW w:w="7124" w:type="dxa"/>
          </w:tcPr>
          <w:p w14:paraId="496D1A93" w14:textId="77777777" w:rsidR="00624043" w:rsidRPr="0054072E" w:rsidRDefault="0054072E">
            <w:pPr>
              <w:rPr>
                <w:sz w:val="24"/>
                <w:szCs w:val="24"/>
              </w:rPr>
            </w:pPr>
            <w:r>
              <w:rPr>
                <w:sz w:val="24"/>
                <w:szCs w:val="24"/>
              </w:rPr>
              <w:t>Hervorzuheben ist auf jeden Fall die im Vergleich zu anderen Unis in anderen Partnerländern erhöhte Anzahl an Möglichkeiten Kurse auf Englisch oder gar Deutsch zu belegen. Teilweise werden extra Erasmuskurse nur für Erasmusstudenten gehalten.</w:t>
            </w:r>
          </w:p>
        </w:tc>
      </w:tr>
    </w:tbl>
    <w:p w14:paraId="401C9F80" w14:textId="77777777" w:rsidR="003F30EF" w:rsidRDefault="003F30EF" w:rsidP="003F30EF">
      <w:pPr>
        <w:pStyle w:val="KeinLeerraum"/>
      </w:pPr>
    </w:p>
    <w:p w14:paraId="251FD887" w14:textId="77777777" w:rsidR="003F30EF" w:rsidRDefault="003F30EF" w:rsidP="003F30EF">
      <w:pPr>
        <w:pStyle w:val="KeinLeerraum"/>
        <w:rPr>
          <w:b/>
          <w:bCs/>
          <w:sz w:val="24"/>
          <w:szCs w:val="24"/>
        </w:rPr>
      </w:pPr>
      <w:r>
        <w:rPr>
          <w:b/>
          <w:bCs/>
          <w:sz w:val="24"/>
          <w:szCs w:val="24"/>
        </w:rPr>
        <w:t>Partneruniversitäten</w:t>
      </w:r>
    </w:p>
    <w:p w14:paraId="51C28384" w14:textId="77777777" w:rsidR="003F30EF" w:rsidRDefault="003F30EF" w:rsidP="003F30EF">
      <w:pPr>
        <w:pStyle w:val="KeinLeerraum"/>
        <w:rPr>
          <w:b/>
          <w:bCs/>
          <w:sz w:val="24"/>
          <w:szCs w:val="24"/>
        </w:rPr>
      </w:pPr>
    </w:p>
    <w:tbl>
      <w:tblPr>
        <w:tblStyle w:val="HelleListe-Akzent3"/>
        <w:tblW w:w="9062" w:type="dxa"/>
        <w:tblLook w:val="0620" w:firstRow="1" w:lastRow="0" w:firstColumn="0" w:lastColumn="0" w:noHBand="1" w:noVBand="1"/>
      </w:tblPr>
      <w:tblGrid>
        <w:gridCol w:w="2086"/>
        <w:gridCol w:w="6976"/>
      </w:tblGrid>
      <w:tr w:rsidR="00BA4BE6" w14:paraId="070D62AC" w14:textId="77777777" w:rsidTr="00BA4BE6">
        <w:trPr>
          <w:cnfStyle w:val="100000000000" w:firstRow="1" w:lastRow="0" w:firstColumn="0" w:lastColumn="0" w:oddVBand="0" w:evenVBand="0" w:oddHBand="0" w:evenHBand="0" w:firstRowFirstColumn="0" w:firstRowLastColumn="0" w:lastRowFirstColumn="0" w:lastRowLastColumn="0"/>
        </w:trPr>
        <w:tc>
          <w:tcPr>
            <w:tcW w:w="0" w:type="auto"/>
          </w:tcPr>
          <w:p w14:paraId="2E3C3BF1" w14:textId="77777777" w:rsidR="00BA4BE6" w:rsidRDefault="00BA4BE6"/>
        </w:tc>
        <w:tc>
          <w:tcPr>
            <w:tcW w:w="7599" w:type="dxa"/>
          </w:tcPr>
          <w:p w14:paraId="57D44FFC" w14:textId="77777777" w:rsidR="00BA4BE6" w:rsidRDefault="00BA4BE6"/>
        </w:tc>
      </w:tr>
      <w:tr w:rsidR="00BA4BE6" w14:paraId="6A929702" w14:textId="77777777" w:rsidTr="00BA4BE6">
        <w:trPr>
          <w:trHeight w:val="567"/>
        </w:trPr>
        <w:tc>
          <w:tcPr>
            <w:tcW w:w="0" w:type="auto"/>
          </w:tcPr>
          <w:p w14:paraId="278F1815" w14:textId="77777777" w:rsidR="00BA4BE6" w:rsidRPr="00BA4BE6" w:rsidRDefault="00BA4BE6">
            <w:pPr>
              <w:rPr>
                <w:sz w:val="24"/>
                <w:szCs w:val="24"/>
              </w:rPr>
            </w:pPr>
            <w:r>
              <w:rPr>
                <w:sz w:val="24"/>
                <w:szCs w:val="24"/>
              </w:rPr>
              <w:t>Wer?</w:t>
            </w:r>
          </w:p>
        </w:tc>
        <w:tc>
          <w:tcPr>
            <w:tcW w:w="7599" w:type="dxa"/>
          </w:tcPr>
          <w:p w14:paraId="379BAEED" w14:textId="12D58F97" w:rsidR="00BA4BE6" w:rsidRPr="00BA4BE6" w:rsidRDefault="00BA4BE6">
            <w:pPr>
              <w:rPr>
                <w:b/>
                <w:bCs/>
                <w:sz w:val="24"/>
                <w:szCs w:val="24"/>
              </w:rPr>
            </w:pPr>
            <w:r>
              <w:rPr>
                <w:b/>
                <w:bCs/>
                <w:sz w:val="24"/>
                <w:szCs w:val="24"/>
              </w:rPr>
              <w:t xml:space="preserve">Aristoteles-Universität </w:t>
            </w:r>
            <w:proofErr w:type="gramStart"/>
            <w:r>
              <w:rPr>
                <w:b/>
                <w:bCs/>
                <w:sz w:val="24"/>
                <w:szCs w:val="24"/>
              </w:rPr>
              <w:t>Thessaloniki(</w:t>
            </w:r>
            <w:proofErr w:type="gramEnd"/>
            <w:r>
              <w:rPr>
                <w:b/>
                <w:bCs/>
                <w:sz w:val="24"/>
                <w:szCs w:val="24"/>
              </w:rPr>
              <w:t>AUT</w:t>
            </w:r>
            <w:r w:rsidR="00BA131D">
              <w:rPr>
                <w:b/>
                <w:bCs/>
                <w:sz w:val="24"/>
                <w:szCs w:val="24"/>
              </w:rPr>
              <w:t>H</w:t>
            </w:r>
            <w:r>
              <w:rPr>
                <w:b/>
                <w:bCs/>
                <w:sz w:val="24"/>
                <w:szCs w:val="24"/>
              </w:rPr>
              <w:t>)</w:t>
            </w:r>
          </w:p>
        </w:tc>
      </w:tr>
      <w:tr w:rsidR="00BA4BE6" w14:paraId="24A6779A" w14:textId="77777777" w:rsidTr="00BA4BE6">
        <w:trPr>
          <w:trHeight w:val="567"/>
        </w:trPr>
        <w:tc>
          <w:tcPr>
            <w:tcW w:w="0" w:type="auto"/>
          </w:tcPr>
          <w:p w14:paraId="14B80A8F" w14:textId="77777777" w:rsidR="00BA4BE6" w:rsidRPr="00BA4BE6" w:rsidRDefault="00BA4BE6">
            <w:pPr>
              <w:rPr>
                <w:sz w:val="24"/>
                <w:szCs w:val="24"/>
              </w:rPr>
            </w:pPr>
            <w:r>
              <w:rPr>
                <w:sz w:val="24"/>
                <w:szCs w:val="24"/>
              </w:rPr>
              <w:t>Wo?</w:t>
            </w:r>
          </w:p>
        </w:tc>
        <w:tc>
          <w:tcPr>
            <w:tcW w:w="7599" w:type="dxa"/>
          </w:tcPr>
          <w:p w14:paraId="7379D9D3" w14:textId="77777777" w:rsidR="00BA4BE6" w:rsidRPr="00BA4BE6" w:rsidRDefault="00BA4BE6">
            <w:pPr>
              <w:rPr>
                <w:sz w:val="24"/>
                <w:szCs w:val="24"/>
              </w:rPr>
            </w:pPr>
            <w:r>
              <w:rPr>
                <w:sz w:val="24"/>
                <w:szCs w:val="24"/>
              </w:rPr>
              <w:t>Thessaloniki</w:t>
            </w:r>
          </w:p>
        </w:tc>
      </w:tr>
      <w:tr w:rsidR="00BA4BE6" w14:paraId="6C9FAAE7" w14:textId="77777777" w:rsidTr="00BA4BE6">
        <w:trPr>
          <w:trHeight w:val="567"/>
        </w:trPr>
        <w:tc>
          <w:tcPr>
            <w:tcW w:w="0" w:type="auto"/>
          </w:tcPr>
          <w:p w14:paraId="214723D7" w14:textId="77777777" w:rsidR="00BA4BE6" w:rsidRPr="00BA4BE6" w:rsidRDefault="00BA4BE6">
            <w:pPr>
              <w:rPr>
                <w:sz w:val="24"/>
                <w:szCs w:val="24"/>
              </w:rPr>
            </w:pPr>
            <w:r>
              <w:rPr>
                <w:sz w:val="24"/>
                <w:szCs w:val="24"/>
              </w:rPr>
              <w:t>Was?</w:t>
            </w:r>
          </w:p>
        </w:tc>
        <w:tc>
          <w:tcPr>
            <w:tcW w:w="7599" w:type="dxa"/>
          </w:tcPr>
          <w:p w14:paraId="4136C13A" w14:textId="77777777" w:rsidR="00BA4BE6" w:rsidRPr="00BA4BE6" w:rsidRDefault="00BA4BE6">
            <w:pPr>
              <w:rPr>
                <w:b/>
                <w:bCs/>
                <w:sz w:val="24"/>
                <w:szCs w:val="24"/>
              </w:rPr>
            </w:pPr>
            <w:r>
              <w:rPr>
                <w:b/>
                <w:bCs/>
                <w:sz w:val="24"/>
                <w:szCs w:val="24"/>
              </w:rPr>
              <w:t>Erasmus</w:t>
            </w:r>
          </w:p>
        </w:tc>
      </w:tr>
      <w:tr w:rsidR="00BA4BE6" w14:paraId="0576D302" w14:textId="77777777" w:rsidTr="00BA4BE6">
        <w:trPr>
          <w:trHeight w:val="567"/>
        </w:trPr>
        <w:tc>
          <w:tcPr>
            <w:tcW w:w="0" w:type="auto"/>
          </w:tcPr>
          <w:p w14:paraId="446C6225" w14:textId="77777777" w:rsidR="00BA4BE6" w:rsidRPr="00BA4BE6" w:rsidRDefault="00BA4BE6">
            <w:pPr>
              <w:rPr>
                <w:sz w:val="24"/>
                <w:szCs w:val="24"/>
              </w:rPr>
            </w:pPr>
            <w:r>
              <w:rPr>
                <w:sz w:val="24"/>
                <w:szCs w:val="24"/>
              </w:rPr>
              <w:t>Sprachniveau</w:t>
            </w:r>
          </w:p>
        </w:tc>
        <w:tc>
          <w:tcPr>
            <w:tcW w:w="7599" w:type="dxa"/>
          </w:tcPr>
          <w:p w14:paraId="0CFDF398" w14:textId="38995B75" w:rsidR="00BA4BE6" w:rsidRPr="00BA4BE6" w:rsidRDefault="00BA4BE6">
            <w:pPr>
              <w:rPr>
                <w:sz w:val="24"/>
                <w:szCs w:val="24"/>
              </w:rPr>
            </w:pPr>
            <w:r>
              <w:rPr>
                <w:sz w:val="24"/>
                <w:szCs w:val="24"/>
              </w:rPr>
              <w:t xml:space="preserve">Grundsätzliche Empfehlung mind. B1 aber großes Vorlesungsangebot auf </w:t>
            </w:r>
            <w:r w:rsidR="00BA131D">
              <w:rPr>
                <w:sz w:val="24"/>
                <w:szCs w:val="24"/>
              </w:rPr>
              <w:t>Deutsch und Englisch. In deutscher Sprache gibt es zum Beispiel die Kurse Griechische und Römische Rechtsgeschichte, Europäisches Gesellschaftsrecht sowie Europäisches Insolvenzrecht.</w:t>
            </w:r>
          </w:p>
        </w:tc>
      </w:tr>
      <w:tr w:rsidR="00BA4BE6" w14:paraId="18996542" w14:textId="77777777" w:rsidTr="00BA4BE6">
        <w:trPr>
          <w:trHeight w:val="567"/>
        </w:trPr>
        <w:tc>
          <w:tcPr>
            <w:tcW w:w="0" w:type="auto"/>
          </w:tcPr>
          <w:p w14:paraId="3A899D76" w14:textId="77777777" w:rsidR="00BA4BE6" w:rsidRPr="00BA4BE6" w:rsidRDefault="00BA4BE6">
            <w:pPr>
              <w:rPr>
                <w:sz w:val="24"/>
                <w:szCs w:val="24"/>
              </w:rPr>
            </w:pPr>
            <w:r>
              <w:rPr>
                <w:sz w:val="24"/>
                <w:szCs w:val="24"/>
              </w:rPr>
              <w:t>Unterkunft</w:t>
            </w:r>
          </w:p>
        </w:tc>
        <w:tc>
          <w:tcPr>
            <w:tcW w:w="7599" w:type="dxa"/>
          </w:tcPr>
          <w:p w14:paraId="4C6A9860" w14:textId="77777777" w:rsidR="00BA4BE6" w:rsidRDefault="00FE5845">
            <w:pPr>
              <w:rPr>
                <w:sz w:val="24"/>
                <w:szCs w:val="24"/>
              </w:rPr>
            </w:pPr>
            <w:r>
              <w:rPr>
                <w:sz w:val="24"/>
                <w:szCs w:val="24"/>
              </w:rPr>
              <w:t>Privat: 250-450Euro</w:t>
            </w:r>
          </w:p>
          <w:p w14:paraId="306472EB" w14:textId="77777777" w:rsidR="00FE5845" w:rsidRPr="00BA4BE6" w:rsidRDefault="00FE5845">
            <w:pPr>
              <w:rPr>
                <w:sz w:val="24"/>
                <w:szCs w:val="24"/>
              </w:rPr>
            </w:pPr>
            <w:r>
              <w:rPr>
                <w:sz w:val="24"/>
                <w:szCs w:val="24"/>
              </w:rPr>
              <w:t>Wohnheim:/</w:t>
            </w:r>
          </w:p>
        </w:tc>
      </w:tr>
      <w:tr w:rsidR="00BA4BE6" w14:paraId="0899083F" w14:textId="77777777" w:rsidTr="00BA4BE6">
        <w:trPr>
          <w:trHeight w:val="567"/>
        </w:trPr>
        <w:tc>
          <w:tcPr>
            <w:tcW w:w="0" w:type="auto"/>
          </w:tcPr>
          <w:p w14:paraId="4FCE5E2E" w14:textId="77777777" w:rsidR="00BA4BE6" w:rsidRPr="00FE5845" w:rsidRDefault="00FE5845">
            <w:pPr>
              <w:rPr>
                <w:sz w:val="24"/>
                <w:szCs w:val="24"/>
              </w:rPr>
            </w:pPr>
            <w:r>
              <w:rPr>
                <w:sz w:val="24"/>
                <w:szCs w:val="24"/>
              </w:rPr>
              <w:t>Sonstiges</w:t>
            </w:r>
          </w:p>
        </w:tc>
        <w:tc>
          <w:tcPr>
            <w:tcW w:w="7599" w:type="dxa"/>
          </w:tcPr>
          <w:p w14:paraId="3AFFF64F" w14:textId="77777777" w:rsidR="00BA4BE6" w:rsidRPr="00FE5845" w:rsidRDefault="00FE5845">
            <w:pPr>
              <w:rPr>
                <w:sz w:val="24"/>
                <w:szCs w:val="24"/>
              </w:rPr>
            </w:pPr>
            <w:r>
              <w:rPr>
                <w:sz w:val="24"/>
                <w:szCs w:val="24"/>
              </w:rPr>
              <w:t>Für Erasmusstudenten wird ein „Welcome/Orientation Day“ von der Uni angeboten und das Erasmus Student Network (ESN) bietet das „Orientation Week Programme“ an, bei dem Erasmusstudenten Stadt, Uni und Leute kennenlernen können.</w:t>
            </w:r>
          </w:p>
        </w:tc>
      </w:tr>
      <w:tr w:rsidR="00BA4BE6" w14:paraId="733A0356" w14:textId="77777777" w:rsidTr="00BA4BE6">
        <w:trPr>
          <w:trHeight w:val="567"/>
        </w:trPr>
        <w:tc>
          <w:tcPr>
            <w:tcW w:w="0" w:type="auto"/>
          </w:tcPr>
          <w:p w14:paraId="71DE20AA" w14:textId="77777777" w:rsidR="00BA4BE6" w:rsidRPr="00FE5845" w:rsidRDefault="00FE5845">
            <w:pPr>
              <w:rPr>
                <w:sz w:val="24"/>
                <w:szCs w:val="24"/>
              </w:rPr>
            </w:pPr>
            <w:r>
              <w:rPr>
                <w:sz w:val="24"/>
                <w:szCs w:val="24"/>
              </w:rPr>
              <w:t>Erasmus</w:t>
            </w:r>
          </w:p>
        </w:tc>
        <w:tc>
          <w:tcPr>
            <w:tcW w:w="7599" w:type="dxa"/>
          </w:tcPr>
          <w:p w14:paraId="71981A68" w14:textId="77777777" w:rsidR="00BA4BE6" w:rsidRPr="00FE5845" w:rsidRDefault="00FE5845">
            <w:pPr>
              <w:rPr>
                <w:sz w:val="24"/>
                <w:szCs w:val="24"/>
              </w:rPr>
            </w:pPr>
            <w:r>
              <w:rPr>
                <w:sz w:val="24"/>
                <w:szCs w:val="24"/>
              </w:rPr>
              <w:t>Bisher war noch kein Student aus Saarbrücken dort.</w:t>
            </w:r>
          </w:p>
        </w:tc>
      </w:tr>
      <w:tr w:rsidR="00BA4BE6" w14:paraId="730E20B6" w14:textId="77777777" w:rsidTr="00BA4BE6">
        <w:trPr>
          <w:trHeight w:val="567"/>
        </w:trPr>
        <w:tc>
          <w:tcPr>
            <w:tcW w:w="0" w:type="auto"/>
          </w:tcPr>
          <w:p w14:paraId="139EE851" w14:textId="77777777" w:rsidR="00BA4BE6" w:rsidRPr="00FE5845" w:rsidRDefault="00FE5845">
            <w:pPr>
              <w:rPr>
                <w:sz w:val="24"/>
                <w:szCs w:val="24"/>
              </w:rPr>
            </w:pPr>
            <w:r>
              <w:rPr>
                <w:sz w:val="24"/>
                <w:szCs w:val="24"/>
              </w:rPr>
              <w:t>Erfahrungsberichte</w:t>
            </w:r>
          </w:p>
        </w:tc>
        <w:tc>
          <w:tcPr>
            <w:tcW w:w="7599" w:type="dxa"/>
          </w:tcPr>
          <w:p w14:paraId="52431875" w14:textId="77777777" w:rsidR="00BA4BE6" w:rsidRPr="00FE5845" w:rsidRDefault="00FE5845">
            <w:pPr>
              <w:rPr>
                <w:sz w:val="24"/>
                <w:szCs w:val="24"/>
              </w:rPr>
            </w:pPr>
            <w:r>
              <w:rPr>
                <w:sz w:val="24"/>
                <w:szCs w:val="24"/>
              </w:rPr>
              <w:t>Nein.</w:t>
            </w:r>
            <w:r w:rsidR="006204BF">
              <w:rPr>
                <w:sz w:val="24"/>
                <w:szCs w:val="24"/>
              </w:rPr>
              <w:t xml:space="preserve"> </w:t>
            </w:r>
            <w:r>
              <w:rPr>
                <w:sz w:val="24"/>
                <w:szCs w:val="24"/>
              </w:rPr>
              <w:t>-</w:t>
            </w:r>
            <w:r w:rsidR="006204BF">
              <w:rPr>
                <w:sz w:val="24"/>
                <w:szCs w:val="24"/>
              </w:rPr>
              <w:t xml:space="preserve"> A</w:t>
            </w:r>
            <w:r>
              <w:rPr>
                <w:sz w:val="24"/>
                <w:szCs w:val="24"/>
              </w:rPr>
              <w:t>ber online von anderen Universitäten.</w:t>
            </w:r>
          </w:p>
        </w:tc>
      </w:tr>
    </w:tbl>
    <w:p w14:paraId="0009C8A7" w14:textId="77777777" w:rsidR="003F30EF" w:rsidRPr="003F30EF" w:rsidRDefault="003F30EF" w:rsidP="003F30EF">
      <w:pPr>
        <w:pStyle w:val="KeinLeerraum"/>
        <w:rPr>
          <w:b/>
          <w:bCs/>
          <w:sz w:val="24"/>
          <w:szCs w:val="24"/>
        </w:rPr>
      </w:pPr>
    </w:p>
    <w:sectPr w:rsidR="003F30EF" w:rsidRPr="003F30EF" w:rsidSect="003F30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2A"/>
    <w:rsid w:val="00014EE4"/>
    <w:rsid w:val="0014223E"/>
    <w:rsid w:val="001817C1"/>
    <w:rsid w:val="00182E0F"/>
    <w:rsid w:val="0019418B"/>
    <w:rsid w:val="0035257F"/>
    <w:rsid w:val="003F30EF"/>
    <w:rsid w:val="00410980"/>
    <w:rsid w:val="0054072E"/>
    <w:rsid w:val="006204BF"/>
    <w:rsid w:val="00624043"/>
    <w:rsid w:val="00635D96"/>
    <w:rsid w:val="00745219"/>
    <w:rsid w:val="00784D76"/>
    <w:rsid w:val="007B1CBB"/>
    <w:rsid w:val="009176A4"/>
    <w:rsid w:val="009A1816"/>
    <w:rsid w:val="00BA131D"/>
    <w:rsid w:val="00BA4BE6"/>
    <w:rsid w:val="00EA7433"/>
    <w:rsid w:val="00F05A2A"/>
    <w:rsid w:val="00F060E1"/>
    <w:rsid w:val="00FE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006E"/>
  <w15:chartTrackingRefBased/>
  <w15:docId w15:val="{AF4F1A39-5116-445E-B9E6-A4C31998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Akzent3">
    <w:name w:val="Light List Accent 3"/>
    <w:basedOn w:val="NormaleTabelle"/>
    <w:uiPriority w:val="61"/>
    <w:rsid w:val="00624043"/>
    <w:pPr>
      <w:spacing w:after="0" w:line="240" w:lineRule="auto"/>
    </w:pPr>
    <w:rPr>
      <w:rFonts w:eastAsiaTheme="minorEastAsia"/>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ittlereListe1-Akzent1">
    <w:name w:val="Medium List 1 Accent 1"/>
    <w:basedOn w:val="NormaleTabelle"/>
    <w:uiPriority w:val="65"/>
    <w:rsid w:val="00624043"/>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ntabelle7farbigAkzent4">
    <w:name w:val="List Table 7 Colorful Accent 4"/>
    <w:basedOn w:val="NormaleTabelle"/>
    <w:uiPriority w:val="52"/>
    <w:rsid w:val="0062404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24043"/>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2404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eilennummer">
    <w:name w:val="line number"/>
    <w:basedOn w:val="Absatz-Standardschriftart"/>
    <w:uiPriority w:val="99"/>
    <w:semiHidden/>
    <w:unhideWhenUsed/>
    <w:rsid w:val="00624043"/>
  </w:style>
  <w:style w:type="character" w:styleId="Hyperlink">
    <w:name w:val="Hyperlink"/>
    <w:basedOn w:val="Absatz-Standardschriftart"/>
    <w:uiPriority w:val="99"/>
    <w:unhideWhenUsed/>
    <w:rsid w:val="00784D76"/>
    <w:rPr>
      <w:color w:val="0563C1" w:themeColor="hyperlink"/>
      <w:u w:val="single"/>
    </w:rPr>
  </w:style>
  <w:style w:type="character" w:styleId="NichtaufgelsteErwhnung">
    <w:name w:val="Unresolved Mention"/>
    <w:basedOn w:val="Absatz-Standardschriftart"/>
    <w:uiPriority w:val="99"/>
    <w:semiHidden/>
    <w:unhideWhenUsed/>
    <w:rsid w:val="00784D76"/>
    <w:rPr>
      <w:color w:val="605E5C"/>
      <w:shd w:val="clear" w:color="auto" w:fill="E1DFDD"/>
    </w:rPr>
  </w:style>
  <w:style w:type="paragraph" w:styleId="KeinLeerraum">
    <w:name w:val="No Spacing"/>
    <w:uiPriority w:val="1"/>
    <w:qFormat/>
    <w:rsid w:val="003F3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Döhring</dc:creator>
  <cp:keywords/>
  <dc:description/>
  <cp:lastModifiedBy>Björn Döhring</cp:lastModifiedBy>
  <cp:revision>2</cp:revision>
  <dcterms:created xsi:type="dcterms:W3CDTF">2020-12-04T15:04:00Z</dcterms:created>
  <dcterms:modified xsi:type="dcterms:W3CDTF">2020-12-04T15:04:00Z</dcterms:modified>
</cp:coreProperties>
</file>