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E6" w:rsidRDefault="00755170" w:rsidP="007551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Erasmus in Serbien</w:t>
      </w:r>
    </w:p>
    <w:p w:rsidR="00755170" w:rsidRDefault="00755170" w:rsidP="00755170">
      <w:pPr>
        <w:rPr>
          <w:b/>
        </w:rPr>
      </w:pPr>
      <w:r>
        <w:rPr>
          <w:b/>
        </w:rPr>
        <w:t>Studieren in Serbien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5170" w:rsidTr="00755170">
        <w:tc>
          <w:tcPr>
            <w:tcW w:w="4531" w:type="dxa"/>
          </w:tcPr>
          <w:p w:rsidR="00755170" w:rsidRPr="00755170" w:rsidRDefault="00755170" w:rsidP="00755170">
            <w:r>
              <w:t>Universitätsjahr</w:t>
            </w:r>
          </w:p>
        </w:tc>
        <w:tc>
          <w:tcPr>
            <w:tcW w:w="4531" w:type="dxa"/>
          </w:tcPr>
          <w:p w:rsidR="00755170" w:rsidRDefault="00755170" w:rsidP="00755170">
            <w:pPr>
              <w:rPr>
                <w:b/>
              </w:rPr>
            </w:pPr>
            <w:r>
              <w:t>Das Studienjahr ist in 2 Semester eingeteilt. Das Wintersemester beginnt Ende September / Anfang Oktober und endet im Januar.</w:t>
            </w:r>
            <w:r w:rsidR="007B30CA">
              <w:t xml:space="preserve"> Klausurenphase ist dann Januar-Februar.</w:t>
            </w:r>
            <w:r>
              <w:t xml:space="preserve"> Das Sommersemester beginnt Ende Februar bzw. Anfang März und endet im Juni.</w:t>
            </w:r>
            <w:r w:rsidR="007B30CA">
              <w:t xml:space="preserve"> Klausurenphase ist dann im Juni-September.</w:t>
            </w:r>
          </w:p>
        </w:tc>
      </w:tr>
      <w:tr w:rsidR="00755170" w:rsidRPr="00755170" w:rsidTr="00755170">
        <w:tc>
          <w:tcPr>
            <w:tcW w:w="4531" w:type="dxa"/>
          </w:tcPr>
          <w:p w:rsidR="00755170" w:rsidRPr="00755170" w:rsidRDefault="00755170" w:rsidP="00755170">
            <w:r w:rsidRPr="00755170">
              <w:t>Studiensystem</w:t>
            </w:r>
          </w:p>
        </w:tc>
        <w:tc>
          <w:tcPr>
            <w:tcW w:w="4531" w:type="dxa"/>
          </w:tcPr>
          <w:p w:rsidR="00755170" w:rsidRPr="00755170" w:rsidRDefault="00755170" w:rsidP="00755170">
            <w:r w:rsidRPr="00755170">
              <w:t xml:space="preserve">Der </w:t>
            </w:r>
            <w:r>
              <w:t>B</w:t>
            </w:r>
            <w:r w:rsidRPr="00755170">
              <w:t xml:space="preserve">achelor </w:t>
            </w:r>
            <w:proofErr w:type="spellStart"/>
            <w:r w:rsidRPr="00755170">
              <w:t>of</w:t>
            </w:r>
            <w:proofErr w:type="spellEnd"/>
            <w:r w:rsidRPr="00755170">
              <w:t xml:space="preserve"> </w:t>
            </w:r>
            <w:r>
              <w:t>L</w:t>
            </w:r>
            <w:r w:rsidRPr="00755170">
              <w:t>aw dauert in der</w:t>
            </w:r>
            <w:r>
              <w:t xml:space="preserve"> Regel vier Jahre (240 ECTS) und der Master </w:t>
            </w:r>
            <w:proofErr w:type="spellStart"/>
            <w:r>
              <w:t>of</w:t>
            </w:r>
            <w:proofErr w:type="spellEnd"/>
            <w:r>
              <w:t xml:space="preserve"> Law ein Jahr (60 ECTS). Das Doktorat ist auf drei Jahre angelegt (180 ECTS).</w:t>
            </w:r>
            <w:r w:rsidR="00FE78B4">
              <w:t xml:space="preserve"> Die Veranstaltungen teilen sich in sog. „</w:t>
            </w:r>
            <w:proofErr w:type="spellStart"/>
            <w:r w:rsidR="00FE78B4">
              <w:t>theoretical</w:t>
            </w:r>
            <w:proofErr w:type="spellEnd"/>
            <w:r w:rsidR="00FE78B4">
              <w:t xml:space="preserve"> </w:t>
            </w:r>
            <w:proofErr w:type="spellStart"/>
            <w:r w:rsidR="00FE78B4">
              <w:t>classe</w:t>
            </w:r>
            <w:proofErr w:type="spellEnd"/>
            <w:r w:rsidR="00FE78B4">
              <w:t>“ und „</w:t>
            </w:r>
            <w:proofErr w:type="spellStart"/>
            <w:r w:rsidR="00FE78B4">
              <w:t>practic</w:t>
            </w:r>
            <w:r w:rsidR="00930969">
              <w:t>al</w:t>
            </w:r>
            <w:proofErr w:type="spellEnd"/>
            <w:r w:rsidR="00930969">
              <w:t xml:space="preserve"> </w:t>
            </w:r>
            <w:proofErr w:type="spellStart"/>
            <w:r w:rsidR="00930969">
              <w:t>classes</w:t>
            </w:r>
            <w:proofErr w:type="spellEnd"/>
            <w:r w:rsidR="00930969">
              <w:t>“ auf, Abschlussklausuren werden teilweise mündlich abgehalten. Zudem können „</w:t>
            </w:r>
            <w:proofErr w:type="spellStart"/>
            <w:r w:rsidR="00930969">
              <w:t>seminar</w:t>
            </w:r>
            <w:proofErr w:type="spellEnd"/>
            <w:r w:rsidR="00930969">
              <w:t xml:space="preserve"> </w:t>
            </w:r>
            <w:proofErr w:type="spellStart"/>
            <w:r w:rsidR="00930969">
              <w:t>papers</w:t>
            </w:r>
            <w:proofErr w:type="spellEnd"/>
            <w:r w:rsidR="00930969">
              <w:t xml:space="preserve">“ und „power </w:t>
            </w:r>
            <w:proofErr w:type="spellStart"/>
            <w:r w:rsidR="00930969">
              <w:t>point</w:t>
            </w:r>
            <w:proofErr w:type="spellEnd"/>
            <w:r w:rsidR="00930969">
              <w:t xml:space="preserve"> </w:t>
            </w:r>
            <w:proofErr w:type="spellStart"/>
            <w:r w:rsidR="00930969">
              <w:t>presentations</w:t>
            </w:r>
            <w:proofErr w:type="spellEnd"/>
            <w:r w:rsidR="00930969">
              <w:t>“ zu den Vorlesungen gehören.</w:t>
            </w:r>
          </w:p>
        </w:tc>
      </w:tr>
      <w:tr w:rsidR="00755170" w:rsidRPr="00755170" w:rsidTr="00755170">
        <w:tc>
          <w:tcPr>
            <w:tcW w:w="4531" w:type="dxa"/>
          </w:tcPr>
          <w:p w:rsidR="00755170" w:rsidRPr="004A5456" w:rsidRDefault="00930969" w:rsidP="00755170">
            <w:r w:rsidRPr="004A5456">
              <w:t>Sprachkenntnisse</w:t>
            </w:r>
          </w:p>
        </w:tc>
        <w:tc>
          <w:tcPr>
            <w:tcW w:w="4531" w:type="dxa"/>
          </w:tcPr>
          <w:p w:rsidR="00D223CE" w:rsidRPr="004A5456" w:rsidRDefault="00930969" w:rsidP="00755170">
            <w:r w:rsidRPr="004A5456">
              <w:t>Grundsätzlich werden die Kurse alle</w:t>
            </w:r>
            <w:r w:rsidR="004A5456" w:rsidRPr="004A5456">
              <w:t xml:space="preserve"> auf Serbisch gehalten, Austauschstudierende können Kurse teilweise auf Englisch absolvi</w:t>
            </w:r>
            <w:r w:rsidR="007B30CA">
              <w:t>eren</w:t>
            </w:r>
            <w:r w:rsidR="004A5456" w:rsidRPr="004A5456">
              <w:t>, dies muss mit der partneruni konkret geklärt werden.</w:t>
            </w:r>
            <w:r w:rsidR="004A5456">
              <w:t xml:space="preserve"> Empfohlen wird daher ein Niveau von B1 in Serbisch und oder Englisch.</w:t>
            </w:r>
          </w:p>
        </w:tc>
      </w:tr>
      <w:tr w:rsidR="00D223CE" w:rsidRPr="00755170" w:rsidTr="00755170">
        <w:tc>
          <w:tcPr>
            <w:tcW w:w="4531" w:type="dxa"/>
          </w:tcPr>
          <w:p w:rsidR="00D223CE" w:rsidRPr="004A5456" w:rsidRDefault="00D223CE" w:rsidP="00755170">
            <w:r>
              <w:t>Sonstiges</w:t>
            </w:r>
          </w:p>
        </w:tc>
        <w:tc>
          <w:tcPr>
            <w:tcW w:w="4531" w:type="dxa"/>
          </w:tcPr>
          <w:p w:rsidR="00D223CE" w:rsidRPr="004A5456" w:rsidRDefault="00D223CE" w:rsidP="00755170">
            <w:r>
              <w:t>Die staatliche Währung in Serbien ist der Dinar</w:t>
            </w:r>
            <w:r w:rsidR="00C03337">
              <w:t xml:space="preserve"> </w:t>
            </w:r>
            <w:r>
              <w:t>(RSD).</w:t>
            </w:r>
            <w:r w:rsidR="00C03337">
              <w:t xml:space="preserve"> In der Serbischen Sprache wird das kyrillische UND das lateinische Alphabet genutzt.</w:t>
            </w:r>
          </w:p>
        </w:tc>
      </w:tr>
    </w:tbl>
    <w:p w:rsidR="00755170" w:rsidRDefault="00755170" w:rsidP="00755170">
      <w:pPr>
        <w:rPr>
          <w:b/>
        </w:rPr>
      </w:pPr>
    </w:p>
    <w:p w:rsidR="004A5456" w:rsidRDefault="004A5456" w:rsidP="00755170">
      <w:pPr>
        <w:rPr>
          <w:b/>
        </w:rPr>
      </w:pPr>
      <w:r>
        <w:rPr>
          <w:b/>
        </w:rPr>
        <w:t>Partneruniversitäten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456" w:rsidTr="004A5456">
        <w:tc>
          <w:tcPr>
            <w:tcW w:w="4531" w:type="dxa"/>
          </w:tcPr>
          <w:p w:rsidR="004A5456" w:rsidRPr="004A5456" w:rsidRDefault="004A5456" w:rsidP="00755170">
            <w:r>
              <w:t>Wer?</w:t>
            </w:r>
          </w:p>
        </w:tc>
        <w:tc>
          <w:tcPr>
            <w:tcW w:w="4531" w:type="dxa"/>
          </w:tcPr>
          <w:p w:rsidR="004A5456" w:rsidRPr="004A5456" w:rsidRDefault="004A5456" w:rsidP="00755170">
            <w:pPr>
              <w:rPr>
                <w:b/>
              </w:rPr>
            </w:pPr>
            <w:r w:rsidRPr="004A5456">
              <w:rPr>
                <w:b/>
              </w:rPr>
              <w:t xml:space="preserve">University </w:t>
            </w:r>
            <w:proofErr w:type="spellStart"/>
            <w:r w:rsidRPr="004A5456">
              <w:rPr>
                <w:b/>
              </w:rPr>
              <w:t>of</w:t>
            </w:r>
            <w:proofErr w:type="spellEnd"/>
            <w:r w:rsidRPr="004A5456">
              <w:rPr>
                <w:b/>
              </w:rPr>
              <w:t xml:space="preserve"> </w:t>
            </w:r>
            <w:proofErr w:type="spellStart"/>
            <w:r w:rsidRPr="004A5456">
              <w:rPr>
                <w:b/>
              </w:rPr>
              <w:t>Belgrade</w:t>
            </w:r>
            <w:proofErr w:type="spellEnd"/>
          </w:p>
        </w:tc>
      </w:tr>
      <w:tr w:rsidR="004A5456" w:rsidTr="004A5456">
        <w:tc>
          <w:tcPr>
            <w:tcW w:w="4531" w:type="dxa"/>
          </w:tcPr>
          <w:p w:rsidR="004A5456" w:rsidRPr="004A5456" w:rsidRDefault="004A5456" w:rsidP="00755170">
            <w:r>
              <w:t>Wo?</w:t>
            </w:r>
          </w:p>
        </w:tc>
        <w:tc>
          <w:tcPr>
            <w:tcW w:w="4531" w:type="dxa"/>
          </w:tcPr>
          <w:p w:rsidR="004A5456" w:rsidRPr="004A5456" w:rsidRDefault="004A5456" w:rsidP="00755170">
            <w:r>
              <w:t>Belgrad, Serbien</w:t>
            </w:r>
          </w:p>
        </w:tc>
      </w:tr>
      <w:tr w:rsidR="004A5456" w:rsidTr="004A5456">
        <w:tc>
          <w:tcPr>
            <w:tcW w:w="4531" w:type="dxa"/>
          </w:tcPr>
          <w:p w:rsidR="004A5456" w:rsidRPr="004A5456" w:rsidRDefault="004A5456" w:rsidP="00755170">
            <w:r>
              <w:t>Was?</w:t>
            </w:r>
          </w:p>
        </w:tc>
        <w:tc>
          <w:tcPr>
            <w:tcW w:w="4531" w:type="dxa"/>
          </w:tcPr>
          <w:p w:rsidR="004A5456" w:rsidRDefault="004A5456" w:rsidP="00755170">
            <w:pPr>
              <w:rPr>
                <w:b/>
              </w:rPr>
            </w:pPr>
            <w:r>
              <w:rPr>
                <w:b/>
              </w:rPr>
              <w:t>Erasmus</w:t>
            </w:r>
          </w:p>
        </w:tc>
      </w:tr>
      <w:tr w:rsidR="004A5456" w:rsidTr="004A5456">
        <w:tc>
          <w:tcPr>
            <w:tcW w:w="4531" w:type="dxa"/>
          </w:tcPr>
          <w:p w:rsidR="004A5456" w:rsidRPr="007B30CA" w:rsidRDefault="007B30CA" w:rsidP="00755170">
            <w:r w:rsidRPr="007B30CA">
              <w:t>Sprachniveau</w:t>
            </w:r>
          </w:p>
        </w:tc>
        <w:tc>
          <w:tcPr>
            <w:tcW w:w="4531" w:type="dxa"/>
          </w:tcPr>
          <w:p w:rsidR="004A5456" w:rsidRPr="007B30CA" w:rsidRDefault="007B30CA" w:rsidP="00755170">
            <w:r w:rsidRPr="007B30CA">
              <w:t>Empfehlung: B1 Englisch und oder Serbisch</w:t>
            </w:r>
          </w:p>
        </w:tc>
      </w:tr>
      <w:tr w:rsidR="004A5456" w:rsidTr="004A5456">
        <w:tc>
          <w:tcPr>
            <w:tcW w:w="4531" w:type="dxa"/>
          </w:tcPr>
          <w:p w:rsidR="004A5456" w:rsidRPr="007B30CA" w:rsidRDefault="007B30CA" w:rsidP="00755170">
            <w:r>
              <w:t>Unterkunft</w:t>
            </w:r>
          </w:p>
        </w:tc>
        <w:tc>
          <w:tcPr>
            <w:tcW w:w="4531" w:type="dxa"/>
          </w:tcPr>
          <w:p w:rsidR="007B30CA" w:rsidRDefault="007B30CA" w:rsidP="00755170">
            <w:r>
              <w:t>Wohnheim: 70-90 Euro monatlich</w:t>
            </w:r>
          </w:p>
          <w:p w:rsidR="00C03337" w:rsidRPr="007B30CA" w:rsidRDefault="00C03337" w:rsidP="00755170">
            <w:r>
              <w:t>Privat: Wohnung für 2 Personen ca. 250-300 Euro (plus Nebenkosten)</w:t>
            </w:r>
          </w:p>
        </w:tc>
      </w:tr>
      <w:tr w:rsidR="004A5456" w:rsidTr="004A5456">
        <w:tc>
          <w:tcPr>
            <w:tcW w:w="4531" w:type="dxa"/>
          </w:tcPr>
          <w:p w:rsidR="004A5456" w:rsidRPr="00D223CE" w:rsidRDefault="00D223CE" w:rsidP="00755170">
            <w:r>
              <w:t>Sonstiges</w:t>
            </w:r>
          </w:p>
        </w:tc>
        <w:tc>
          <w:tcPr>
            <w:tcW w:w="4531" w:type="dxa"/>
          </w:tcPr>
          <w:p w:rsidR="004A5456" w:rsidRPr="00C03337" w:rsidRDefault="00C03337" w:rsidP="00755170">
            <w:r>
              <w:t xml:space="preserve">Zu Beginn des Wintersemesters gibt es eine „Welcome Week“ des ESN, bei der das Kennenlernen von Land und Leuten im Vordergrund steht. Auch wird vom ESN ein </w:t>
            </w:r>
            <w:r>
              <w:lastRenderedPageBreak/>
              <w:t>„Buddy System“ organisiert, um internationalen Studierenden den Einstieg an der UB zu erleichtern.</w:t>
            </w:r>
          </w:p>
        </w:tc>
      </w:tr>
      <w:tr w:rsidR="004A5456" w:rsidTr="004A5456">
        <w:tc>
          <w:tcPr>
            <w:tcW w:w="4531" w:type="dxa"/>
          </w:tcPr>
          <w:p w:rsidR="004A5456" w:rsidRPr="00C03337" w:rsidRDefault="00C03337" w:rsidP="00755170">
            <w:r>
              <w:lastRenderedPageBreak/>
              <w:t>Erasmus</w:t>
            </w:r>
          </w:p>
        </w:tc>
        <w:tc>
          <w:tcPr>
            <w:tcW w:w="4531" w:type="dxa"/>
          </w:tcPr>
          <w:p w:rsidR="004A5456" w:rsidRPr="00C03337" w:rsidRDefault="00C03337" w:rsidP="00755170">
            <w:r w:rsidRPr="00C03337">
              <w:t>Nein.</w:t>
            </w:r>
          </w:p>
        </w:tc>
      </w:tr>
      <w:tr w:rsidR="004A5456" w:rsidTr="004A5456">
        <w:tc>
          <w:tcPr>
            <w:tcW w:w="4531" w:type="dxa"/>
          </w:tcPr>
          <w:p w:rsidR="004A5456" w:rsidRPr="00C03337" w:rsidRDefault="00C03337" w:rsidP="00755170">
            <w:r w:rsidRPr="00C03337">
              <w:t>Erfahrungsberichte</w:t>
            </w:r>
          </w:p>
        </w:tc>
        <w:tc>
          <w:tcPr>
            <w:tcW w:w="4531" w:type="dxa"/>
          </w:tcPr>
          <w:p w:rsidR="004A5456" w:rsidRDefault="00C03337" w:rsidP="00755170">
            <w:pPr>
              <w:rPr>
                <w:b/>
              </w:rPr>
            </w:pPr>
            <w:r>
              <w:rPr>
                <w:b/>
              </w:rPr>
              <w:t>Nein.</w:t>
            </w:r>
          </w:p>
        </w:tc>
      </w:tr>
    </w:tbl>
    <w:p w:rsidR="004A5456" w:rsidRDefault="004A5456" w:rsidP="00755170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1E74" w:rsidTr="00511E74">
        <w:tc>
          <w:tcPr>
            <w:tcW w:w="4531" w:type="dxa"/>
          </w:tcPr>
          <w:p w:rsidR="00511E74" w:rsidRPr="00511E74" w:rsidRDefault="00511E74" w:rsidP="00755170">
            <w:r>
              <w:t>Wer?</w:t>
            </w:r>
          </w:p>
        </w:tc>
        <w:tc>
          <w:tcPr>
            <w:tcW w:w="4531" w:type="dxa"/>
          </w:tcPr>
          <w:p w:rsidR="00511E74" w:rsidRDefault="00511E74" w:rsidP="00755170">
            <w:pPr>
              <w:rPr>
                <w:b/>
              </w:rPr>
            </w:pPr>
            <w:r>
              <w:rPr>
                <w:b/>
              </w:rPr>
              <w:t xml:space="preserve">University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Ni</w:t>
            </w:r>
            <w:r w:rsidRPr="00511E74">
              <w:rPr>
                <w:b/>
              </w:rPr>
              <w:t>š</w:t>
            </w:r>
          </w:p>
        </w:tc>
      </w:tr>
      <w:tr w:rsidR="00511E74" w:rsidTr="00511E74">
        <w:tc>
          <w:tcPr>
            <w:tcW w:w="4531" w:type="dxa"/>
          </w:tcPr>
          <w:p w:rsidR="00511E74" w:rsidRPr="00511E74" w:rsidRDefault="00511E74" w:rsidP="00755170">
            <w:r>
              <w:t>Wo?</w:t>
            </w:r>
          </w:p>
        </w:tc>
        <w:tc>
          <w:tcPr>
            <w:tcW w:w="4531" w:type="dxa"/>
          </w:tcPr>
          <w:p w:rsidR="00511E74" w:rsidRPr="00511E74" w:rsidRDefault="00511E74" w:rsidP="00755170">
            <w:r w:rsidRPr="00511E74">
              <w:t>Niš</w:t>
            </w:r>
            <w:r>
              <w:t>, Serbien</w:t>
            </w:r>
          </w:p>
        </w:tc>
      </w:tr>
      <w:tr w:rsidR="00511E74" w:rsidTr="00511E74">
        <w:tc>
          <w:tcPr>
            <w:tcW w:w="4531" w:type="dxa"/>
          </w:tcPr>
          <w:p w:rsidR="00511E74" w:rsidRPr="00511E74" w:rsidRDefault="00511E74" w:rsidP="00755170">
            <w:r>
              <w:t>Was?</w:t>
            </w:r>
          </w:p>
        </w:tc>
        <w:tc>
          <w:tcPr>
            <w:tcW w:w="4531" w:type="dxa"/>
          </w:tcPr>
          <w:p w:rsidR="00511E74" w:rsidRDefault="00511E74" w:rsidP="00755170">
            <w:pPr>
              <w:rPr>
                <w:b/>
              </w:rPr>
            </w:pPr>
            <w:r>
              <w:rPr>
                <w:b/>
              </w:rPr>
              <w:t>Erasmus</w:t>
            </w:r>
          </w:p>
        </w:tc>
      </w:tr>
      <w:tr w:rsidR="00511E74" w:rsidTr="00511E74">
        <w:tc>
          <w:tcPr>
            <w:tcW w:w="4531" w:type="dxa"/>
          </w:tcPr>
          <w:p w:rsidR="00511E74" w:rsidRPr="00511E74" w:rsidRDefault="00511E74" w:rsidP="00755170">
            <w:r>
              <w:t>Sprachniveau</w:t>
            </w:r>
          </w:p>
        </w:tc>
        <w:tc>
          <w:tcPr>
            <w:tcW w:w="4531" w:type="dxa"/>
          </w:tcPr>
          <w:p w:rsidR="00511E74" w:rsidRPr="00511E74" w:rsidRDefault="00511E74" w:rsidP="00755170">
            <w:r>
              <w:t>Serbisch/Englisch B2; Sprachkurse vor Ort kostenpflichtig</w:t>
            </w:r>
          </w:p>
        </w:tc>
      </w:tr>
      <w:tr w:rsidR="00511E74" w:rsidTr="00511E74">
        <w:tc>
          <w:tcPr>
            <w:tcW w:w="4531" w:type="dxa"/>
          </w:tcPr>
          <w:p w:rsidR="00511E74" w:rsidRPr="003A6984" w:rsidRDefault="003A6984" w:rsidP="00755170">
            <w:r>
              <w:t>Unterkunft</w:t>
            </w:r>
          </w:p>
        </w:tc>
        <w:tc>
          <w:tcPr>
            <w:tcW w:w="4531" w:type="dxa"/>
          </w:tcPr>
          <w:p w:rsidR="00511E74" w:rsidRDefault="00D360ED" w:rsidP="00755170">
            <w:r>
              <w:t>Wohnheim:/</w:t>
            </w:r>
          </w:p>
          <w:p w:rsidR="00D360ED" w:rsidRPr="003A6984" w:rsidRDefault="00D360ED" w:rsidP="00755170">
            <w:r>
              <w:t>Privat:  ca. 100-200 Euro monatlich (+Nebenkosten)</w:t>
            </w:r>
          </w:p>
        </w:tc>
      </w:tr>
      <w:tr w:rsidR="00511E74" w:rsidTr="00511E74">
        <w:tc>
          <w:tcPr>
            <w:tcW w:w="4531" w:type="dxa"/>
          </w:tcPr>
          <w:p w:rsidR="00511E74" w:rsidRPr="003A6984" w:rsidRDefault="003A6984" w:rsidP="00755170">
            <w:r>
              <w:t>Sonstiges</w:t>
            </w:r>
          </w:p>
        </w:tc>
        <w:tc>
          <w:tcPr>
            <w:tcW w:w="4531" w:type="dxa"/>
          </w:tcPr>
          <w:p w:rsidR="00511E74" w:rsidRPr="003A6984" w:rsidRDefault="003A6984" w:rsidP="00755170">
            <w:r>
              <w:t>Zu Beginn des Semesters gibt es die sog. „Orientation Days“ für internationale Studierende und auch ein „Buddy Programme“ wird angeboten.</w:t>
            </w:r>
          </w:p>
        </w:tc>
      </w:tr>
      <w:tr w:rsidR="00D360ED" w:rsidTr="00511E74">
        <w:tc>
          <w:tcPr>
            <w:tcW w:w="4531" w:type="dxa"/>
          </w:tcPr>
          <w:p w:rsidR="00D360ED" w:rsidRDefault="00D360ED" w:rsidP="00755170">
            <w:r>
              <w:t>Erasmus</w:t>
            </w:r>
          </w:p>
        </w:tc>
        <w:tc>
          <w:tcPr>
            <w:tcW w:w="4531" w:type="dxa"/>
          </w:tcPr>
          <w:p w:rsidR="00D360ED" w:rsidRDefault="00D360ED" w:rsidP="00755170">
            <w:r>
              <w:t>Nein.</w:t>
            </w:r>
            <w:bookmarkStart w:id="0" w:name="_GoBack"/>
            <w:bookmarkEnd w:id="0"/>
          </w:p>
        </w:tc>
      </w:tr>
      <w:tr w:rsidR="00D360ED" w:rsidTr="00511E74">
        <w:tc>
          <w:tcPr>
            <w:tcW w:w="4531" w:type="dxa"/>
          </w:tcPr>
          <w:p w:rsidR="00D360ED" w:rsidRDefault="00D360ED" w:rsidP="00755170">
            <w:r>
              <w:t>Erfahrungsberichte</w:t>
            </w:r>
          </w:p>
        </w:tc>
        <w:tc>
          <w:tcPr>
            <w:tcW w:w="4531" w:type="dxa"/>
          </w:tcPr>
          <w:p w:rsidR="00D360ED" w:rsidRDefault="00D360ED" w:rsidP="00755170">
            <w:r>
              <w:t>Nein.</w:t>
            </w:r>
          </w:p>
        </w:tc>
      </w:tr>
    </w:tbl>
    <w:p w:rsidR="00F65954" w:rsidRPr="00755170" w:rsidRDefault="00F65954" w:rsidP="00755170">
      <w:pPr>
        <w:rPr>
          <w:b/>
        </w:rPr>
      </w:pPr>
    </w:p>
    <w:sectPr w:rsidR="00F65954" w:rsidRPr="007551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70"/>
    <w:rsid w:val="003A6984"/>
    <w:rsid w:val="004A5456"/>
    <w:rsid w:val="00511E74"/>
    <w:rsid w:val="00755170"/>
    <w:rsid w:val="007B30CA"/>
    <w:rsid w:val="00930969"/>
    <w:rsid w:val="00BF2AE6"/>
    <w:rsid w:val="00C03337"/>
    <w:rsid w:val="00D223CE"/>
    <w:rsid w:val="00D360ED"/>
    <w:rsid w:val="00F65954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63FD"/>
  <w15:chartTrackingRefBased/>
  <w15:docId w15:val="{050D66F7-2D34-4524-ADFB-51ADB8DB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Döhring</dc:creator>
  <cp:keywords/>
  <dc:description/>
  <cp:lastModifiedBy>Björn Döhring</cp:lastModifiedBy>
  <cp:revision>2</cp:revision>
  <dcterms:created xsi:type="dcterms:W3CDTF">2020-05-14T12:24:00Z</dcterms:created>
  <dcterms:modified xsi:type="dcterms:W3CDTF">2020-05-14T12:24:00Z</dcterms:modified>
</cp:coreProperties>
</file>