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8E" w:rsidRDefault="00594407" w:rsidP="00A42ECD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Univ.-</w:t>
      </w:r>
      <w:r w:rsidR="009F43FC" w:rsidRPr="009F43FC">
        <w:rPr>
          <w:b/>
          <w:sz w:val="28"/>
        </w:rPr>
        <w:t xml:space="preserve">Prof. Dr. </w:t>
      </w:r>
      <w:r w:rsidR="00497F55">
        <w:rPr>
          <w:b/>
          <w:sz w:val="28"/>
        </w:rPr>
        <w:t xml:space="preserve">iur. </w:t>
      </w:r>
      <w:r w:rsidR="009F43FC" w:rsidRPr="009F43FC">
        <w:rPr>
          <w:b/>
          <w:sz w:val="28"/>
        </w:rPr>
        <w:t>Thomas Giegerich:</w:t>
      </w:r>
      <w:r w:rsidR="00D3076A" w:rsidRPr="009F43FC">
        <w:rPr>
          <w:b/>
          <w:sz w:val="28"/>
        </w:rPr>
        <w:tab/>
      </w:r>
      <w:r w:rsidR="00D3076A">
        <w:rPr>
          <w:b/>
          <w:sz w:val="28"/>
        </w:rPr>
        <w:t>Publikationsverzeichnis</w:t>
      </w:r>
    </w:p>
    <w:p w:rsidR="00D3076A" w:rsidRDefault="00BC32E8" w:rsidP="00A42ECD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(Stand: 16.06</w:t>
      </w:r>
      <w:r w:rsidR="005D68CE">
        <w:rPr>
          <w:b/>
          <w:sz w:val="28"/>
        </w:rPr>
        <w:t>.2021</w:t>
      </w:r>
      <w:r w:rsidR="0055658E">
        <w:rPr>
          <w:b/>
          <w:sz w:val="28"/>
        </w:rPr>
        <w:t>)</w:t>
      </w:r>
    </w:p>
    <w:p w:rsidR="00D3076A" w:rsidRDefault="00D3076A">
      <w:pPr>
        <w:spacing w:after="120"/>
        <w:rPr>
          <w:b/>
          <w:sz w:val="28"/>
        </w:rPr>
      </w:pPr>
    </w:p>
    <w:p w:rsidR="00D3076A" w:rsidRDefault="00D3076A">
      <w:pPr>
        <w:pStyle w:val="berschrift1"/>
        <w:tabs>
          <w:tab w:val="left" w:pos="709"/>
        </w:tabs>
        <w:spacing w:after="120"/>
        <w:jc w:val="both"/>
      </w:pPr>
      <w:r>
        <w:t>I.</w:t>
      </w:r>
      <w:r>
        <w:tab/>
        <w:t>Monographien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-Zeileneinzug"/>
        <w:tabs>
          <w:tab w:val="left" w:pos="993"/>
        </w:tabs>
        <w:spacing w:after="120"/>
        <w:rPr>
          <w:b/>
          <w:sz w:val="28"/>
        </w:rPr>
      </w:pPr>
      <w:r>
        <w:t>1)</w:t>
      </w:r>
      <w:r>
        <w:tab/>
        <w:t>Privatwirkung der Grundrechte in den USA: Die State Action Doctrine des U.S. Supreme Court und die Bürgerrechtsgesetzgebung des Bundes (</w:t>
      </w:r>
      <w:r w:rsidR="0055658E">
        <w:t xml:space="preserve">Springer, Berlin </w:t>
      </w:r>
      <w:r>
        <w:t>1992), 518 S. (Dissertation)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2"/>
        <w:tabs>
          <w:tab w:val="left" w:pos="709"/>
          <w:tab w:val="left" w:pos="993"/>
        </w:tabs>
        <w:spacing w:after="120"/>
      </w:pPr>
      <w:r>
        <w:tab/>
        <w:t>2)</w:t>
      </w:r>
      <w:r>
        <w:tab/>
        <w:t>Europäische Verfassung und deutsche Verfassung im transnationalen Konstituti</w:t>
      </w:r>
      <w:r>
        <w:t>o</w:t>
      </w:r>
      <w:r>
        <w:t>nalisierungsprozeß: Wechselseitige Rezeption, konstitutionelle Evolution und föderale Ve</w:t>
      </w:r>
      <w:r>
        <w:t>r</w:t>
      </w:r>
      <w:r>
        <w:t>flechtung (</w:t>
      </w:r>
      <w:r w:rsidR="0055658E">
        <w:t xml:space="preserve">Springer, Berlin </w:t>
      </w:r>
      <w:r>
        <w:t>2003), 1534 S. (Habilitationsschrift)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berschrift1"/>
        <w:tabs>
          <w:tab w:val="left" w:pos="709"/>
        </w:tabs>
        <w:spacing w:after="120"/>
        <w:jc w:val="both"/>
      </w:pPr>
      <w:r>
        <w:t>II.</w:t>
      </w:r>
      <w:r>
        <w:tab/>
        <w:t>Einzelbeiträge</w:t>
      </w:r>
      <w:r w:rsidR="00E354B1">
        <w:t xml:space="preserve"> in gedruckter Form</w:t>
      </w:r>
    </w:p>
    <w:p w:rsidR="00D3076A" w:rsidRDefault="00D3076A">
      <w:pPr>
        <w:spacing w:after="120"/>
        <w:jc w:val="both"/>
        <w:rPr>
          <w:b/>
          <w:sz w:val="24"/>
        </w:rPr>
      </w:pPr>
    </w:p>
    <w:p w:rsidR="00D3076A" w:rsidRDefault="00D3076A">
      <w:pPr>
        <w:pStyle w:val="Textkrper"/>
        <w:tabs>
          <w:tab w:val="left" w:pos="709"/>
          <w:tab w:val="left" w:pos="993"/>
        </w:tabs>
        <w:spacing w:after="120"/>
        <w:jc w:val="both"/>
      </w:pPr>
      <w:r>
        <w:tab/>
        <w:t>1)</w:t>
      </w:r>
      <w:r>
        <w:tab/>
        <w:t>Wiederaufgreifen des Verwaltungsverfahrens nach rechtskräftiger Klageabweisung – BVerwG, NJW 1985, 280, Juristische Schulung 1985, S. 923 – 924 (Kurzstellungnahme)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2"/>
        <w:tabs>
          <w:tab w:val="left" w:pos="709"/>
          <w:tab w:val="left" w:pos="993"/>
        </w:tabs>
        <w:spacing w:after="120"/>
      </w:pPr>
      <w:r>
        <w:tab/>
        <w:t>2)</w:t>
      </w:r>
      <w:r>
        <w:tab/>
        <w:t>Geht der gutgläubige Erwerb im Dickicht der Stellvertretungslehre verloren?, Neue Juristische Wochenschrift 1986, S. 1975 – 1976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tabs>
          <w:tab w:val="left" w:pos="709"/>
          <w:tab w:val="left" w:pos="993"/>
        </w:tabs>
        <w:spacing w:after="120"/>
        <w:jc w:val="both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  <w:lang w:val="en-GB"/>
        </w:rPr>
        <w:t>3)</w:t>
      </w:r>
      <w:r>
        <w:rPr>
          <w:sz w:val="24"/>
          <w:lang w:val="en-GB"/>
        </w:rPr>
        <w:tab/>
        <w:t>The Law of the Sea Tribunal, in: Kenneth Robert Redden (ed.), Modern Legal Sy</w:t>
      </w:r>
      <w:r>
        <w:rPr>
          <w:sz w:val="24"/>
          <w:lang w:val="en-GB"/>
        </w:rPr>
        <w:t>s</w:t>
      </w:r>
      <w:r>
        <w:rPr>
          <w:sz w:val="24"/>
          <w:lang w:val="en-GB"/>
        </w:rPr>
        <w:t>tems Cyclopedia, Vol. 5A (1990), No. 5A.300, S. 1 – 45 (Manuskript 1985 abgeschlossen)</w:t>
      </w:r>
    </w:p>
    <w:p w:rsidR="00D3076A" w:rsidRDefault="00D3076A">
      <w:pPr>
        <w:spacing w:after="120"/>
        <w:jc w:val="both"/>
        <w:rPr>
          <w:sz w:val="24"/>
          <w:lang w:val="en-GB"/>
        </w:rPr>
      </w:pPr>
    </w:p>
    <w:p w:rsidR="00D3076A" w:rsidRPr="00E14D47" w:rsidRDefault="00D3076A">
      <w:pPr>
        <w:pStyle w:val="Textkrper2"/>
        <w:tabs>
          <w:tab w:val="left" w:pos="709"/>
          <w:tab w:val="left" w:pos="993"/>
        </w:tabs>
        <w:spacing w:after="120"/>
      </w:pPr>
      <w:r>
        <w:rPr>
          <w:lang w:val="en-GB"/>
        </w:rPr>
        <w:tab/>
        <w:t>4)</w:t>
      </w:r>
      <w:r>
        <w:rPr>
          <w:lang w:val="en-GB"/>
        </w:rPr>
        <w:tab/>
        <w:t>The Status of "Basic Individual Rights" in International Law, Thesaurus Acroasium Vol.</w:t>
      </w:r>
      <w:r w:rsidR="0055658E">
        <w:rPr>
          <w:lang w:val="en-GB"/>
        </w:rPr>
        <w:t xml:space="preserve"> </w:t>
      </w:r>
      <w:r w:rsidRPr="00E14D47">
        <w:t>XVI (1990), S. 741 – 752 (Manuskript 1985 abgeschlossen)</w:t>
      </w:r>
    </w:p>
    <w:p w:rsidR="00D3076A" w:rsidRPr="00E14D47" w:rsidRDefault="00D3076A">
      <w:pPr>
        <w:spacing w:after="120"/>
        <w:jc w:val="both"/>
        <w:rPr>
          <w:sz w:val="24"/>
        </w:rPr>
      </w:pPr>
    </w:p>
    <w:p w:rsidR="00D3076A" w:rsidRDefault="00D3076A">
      <w:pPr>
        <w:tabs>
          <w:tab w:val="left" w:pos="709"/>
          <w:tab w:val="left" w:pos="993"/>
        </w:tabs>
        <w:spacing w:after="120"/>
        <w:jc w:val="both"/>
        <w:rPr>
          <w:sz w:val="24"/>
        </w:rPr>
      </w:pPr>
      <w:r w:rsidRPr="00E14D47">
        <w:rPr>
          <w:sz w:val="24"/>
        </w:rPr>
        <w:tab/>
      </w:r>
      <w:r>
        <w:rPr>
          <w:sz w:val="24"/>
        </w:rPr>
        <w:t>5)</w:t>
      </w:r>
      <w:r>
        <w:rPr>
          <w:sz w:val="24"/>
        </w:rPr>
        <w:tab/>
        <w:t>Grenzen des Ermessens bei der Bestimmung des Wahltages, Archiv des öffentl</w:t>
      </w:r>
      <w:r>
        <w:rPr>
          <w:sz w:val="24"/>
        </w:rPr>
        <w:t>i</w:t>
      </w:r>
      <w:r>
        <w:rPr>
          <w:sz w:val="24"/>
        </w:rPr>
        <w:t>chen Rechts Bd. 112 (1987), S. 544 – 585 (zusammen mit Prof. Dr. Eckart Klein)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tabs>
          <w:tab w:val="left" w:pos="709"/>
          <w:tab w:val="left" w:pos="993"/>
        </w:tabs>
        <w:spacing w:after="120"/>
        <w:jc w:val="both"/>
        <w:rPr>
          <w:sz w:val="24"/>
        </w:rPr>
      </w:pPr>
      <w:r>
        <w:rPr>
          <w:sz w:val="24"/>
        </w:rPr>
        <w:tab/>
        <w:t>6)</w:t>
      </w:r>
      <w:r>
        <w:rPr>
          <w:sz w:val="24"/>
        </w:rPr>
        <w:tab/>
        <w:t>Die Planungshoheit der Gemeinde, Juristische Arbeitsblätter 1988, S. 367 – 377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tabs>
          <w:tab w:val="left" w:pos="709"/>
          <w:tab w:val="left" w:pos="993"/>
        </w:tabs>
        <w:spacing w:after="120"/>
        <w:jc w:val="both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  <w:lang w:val="en-GB"/>
        </w:rPr>
        <w:t>7)</w:t>
      </w:r>
      <w:r>
        <w:rPr>
          <w:sz w:val="24"/>
          <w:lang w:val="en-GB"/>
        </w:rPr>
        <w:tab/>
        <w:t>The Parliamentary Democracy, in: Ulrich Karpen (ed.), The Constitution of the Federal Republic of Germany (1988), S. 141 – 168 (zusammen mit Prof. Dr. Eckart Klein)</w:t>
      </w:r>
    </w:p>
    <w:p w:rsidR="00D3076A" w:rsidRDefault="00D3076A">
      <w:pPr>
        <w:spacing w:after="120"/>
        <w:jc w:val="both"/>
        <w:rPr>
          <w:sz w:val="24"/>
          <w:lang w:val="en-GB"/>
        </w:rPr>
      </w:pPr>
    </w:p>
    <w:p w:rsidR="00D3076A" w:rsidRDefault="00D3076A">
      <w:pPr>
        <w:tabs>
          <w:tab w:val="left" w:pos="709"/>
          <w:tab w:val="left" w:pos="1134"/>
        </w:tabs>
        <w:spacing w:after="120"/>
        <w:jc w:val="both"/>
        <w:rPr>
          <w:sz w:val="24"/>
        </w:rPr>
      </w:pPr>
      <w:r>
        <w:rPr>
          <w:sz w:val="24"/>
          <w:lang w:val="en-GB"/>
        </w:rPr>
        <w:tab/>
      </w:r>
      <w:r>
        <w:rPr>
          <w:sz w:val="24"/>
        </w:rPr>
        <w:t>8)</w:t>
      </w:r>
      <w:r>
        <w:rPr>
          <w:sz w:val="24"/>
        </w:rPr>
        <w:tab/>
        <w:t>Kollision und Transformation von Normen – Versuch zu §1 VwVfG, Die Öffen</w:t>
      </w:r>
      <w:r>
        <w:rPr>
          <w:sz w:val="24"/>
        </w:rPr>
        <w:t>t</w:t>
      </w:r>
      <w:r>
        <w:rPr>
          <w:sz w:val="24"/>
        </w:rPr>
        <w:t>liche Verwaltung 1989, S. 379 – 385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tabs>
          <w:tab w:val="left" w:pos="709"/>
          <w:tab w:val="left" w:pos="1134"/>
        </w:tabs>
        <w:spacing w:after="120"/>
        <w:jc w:val="both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  <w:lang w:val="en-GB"/>
        </w:rPr>
        <w:t>9)</w:t>
      </w:r>
      <w:r>
        <w:rPr>
          <w:sz w:val="24"/>
          <w:lang w:val="en-GB"/>
        </w:rPr>
        <w:tab/>
        <w:t>The German Contribution to the Protection of Shipping in the Persian Gulf: Sta</w:t>
      </w:r>
      <w:r>
        <w:rPr>
          <w:sz w:val="24"/>
          <w:lang w:val="en-GB"/>
        </w:rPr>
        <w:t>y</w:t>
      </w:r>
      <w:r>
        <w:rPr>
          <w:sz w:val="24"/>
          <w:lang w:val="en-GB"/>
        </w:rPr>
        <w:t>ing out for Political or Constitutional Reasons?, Zeitschrift für ausländisches öffentliches Recht und Völkerrecht Bd. 49 (1989), S. 1 – 40</w:t>
      </w:r>
    </w:p>
    <w:p w:rsidR="00D3076A" w:rsidRDefault="00D3076A">
      <w:pPr>
        <w:spacing w:after="120"/>
        <w:jc w:val="both"/>
        <w:rPr>
          <w:sz w:val="24"/>
          <w:lang w:val="en-GB"/>
        </w:rPr>
      </w:pPr>
    </w:p>
    <w:p w:rsidR="00D3076A" w:rsidRDefault="00D3076A">
      <w:pPr>
        <w:tabs>
          <w:tab w:val="left" w:pos="567"/>
          <w:tab w:val="left" w:pos="1134"/>
        </w:tabs>
        <w:spacing w:after="120"/>
        <w:jc w:val="both"/>
        <w:rPr>
          <w:sz w:val="24"/>
        </w:rPr>
      </w:pPr>
      <w:r>
        <w:rPr>
          <w:sz w:val="24"/>
          <w:lang w:val="en-GB"/>
        </w:rPr>
        <w:tab/>
      </w:r>
      <w:r>
        <w:rPr>
          <w:sz w:val="24"/>
        </w:rPr>
        <w:t>10)</w:t>
      </w:r>
      <w:r>
        <w:rPr>
          <w:sz w:val="24"/>
        </w:rPr>
        <w:tab/>
        <w:t>Wahltag und Wahlperiode des Bayerischen Landtags, Bayerische Verwaltung</w:t>
      </w:r>
      <w:r>
        <w:rPr>
          <w:sz w:val="24"/>
        </w:rPr>
        <w:t>s</w:t>
      </w:r>
      <w:r>
        <w:rPr>
          <w:sz w:val="24"/>
        </w:rPr>
        <w:t>blätter 1990, S. 585 – 589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tabs>
          <w:tab w:val="left" w:pos="567"/>
          <w:tab w:val="left" w:pos="1134"/>
        </w:tabs>
        <w:spacing w:after="120"/>
        <w:jc w:val="both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  <w:lang w:val="en-GB"/>
        </w:rPr>
        <w:t>11)</w:t>
      </w:r>
      <w:r>
        <w:rPr>
          <w:sz w:val="24"/>
          <w:lang w:val="en-GB"/>
        </w:rPr>
        <w:tab/>
        <w:t>Persian Gulf, in: Rudolf Bernhardt (ed.), Encyclopedia of Public International Law (Instalment 12, 1990), S. 293 – 302 (= ders. [ed.], Encyclopedia of Public International Law, Volume Three [Consolidated Library Edition], Amsterdam u.a. 1997, S. 1017 – 1025)</w:t>
      </w:r>
    </w:p>
    <w:p w:rsidR="00D3076A" w:rsidRDefault="00D3076A">
      <w:pPr>
        <w:spacing w:after="120"/>
        <w:jc w:val="both"/>
        <w:rPr>
          <w:sz w:val="24"/>
          <w:lang w:val="en-GB"/>
        </w:rPr>
      </w:pPr>
    </w:p>
    <w:p w:rsidR="00D3076A" w:rsidRDefault="00D3076A">
      <w:pPr>
        <w:tabs>
          <w:tab w:val="left" w:pos="567"/>
          <w:tab w:val="left" w:pos="1134"/>
        </w:tabs>
        <w:spacing w:after="120"/>
        <w:jc w:val="both"/>
        <w:rPr>
          <w:sz w:val="24"/>
        </w:rPr>
      </w:pPr>
      <w:r>
        <w:rPr>
          <w:sz w:val="24"/>
          <w:lang w:val="en-GB"/>
        </w:rPr>
        <w:tab/>
      </w:r>
      <w:r>
        <w:rPr>
          <w:sz w:val="24"/>
        </w:rPr>
        <w:t>12)</w:t>
      </w:r>
      <w:r>
        <w:rPr>
          <w:sz w:val="24"/>
        </w:rPr>
        <w:tab/>
        <w:t>Organstreit vor dem Gerichtshof der Europäischen Gemeinschaften. Zur aktiven Parteifähigkeit des Europäischen Parlaments im Nichtigkeitsklageverfahren, Zeitschrift für ausländisches öffentliches Recht und Völkerrecht Bd. 50 (1990), S. 812 – 835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2"/>
        <w:tabs>
          <w:tab w:val="left" w:pos="567"/>
          <w:tab w:val="left" w:pos="1134"/>
        </w:tabs>
        <w:spacing w:after="120"/>
      </w:pPr>
      <w:r>
        <w:tab/>
        <w:t>13)</w:t>
      </w:r>
      <w:r>
        <w:tab/>
        <w:t>Luxemburg, Karlsruhe, Straßburg – Dreistufiger Grundrechtsschutz in Europa?, Zeitschrift für ausländisches öffentliches Recht und Völkerrecht Bd. 50 (1990), S. 836 – 868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tabs>
          <w:tab w:val="left" w:pos="567"/>
          <w:tab w:val="left" w:pos="1134"/>
        </w:tabs>
        <w:spacing w:after="120"/>
        <w:jc w:val="both"/>
        <w:rPr>
          <w:sz w:val="24"/>
          <w:lang w:val="fr-FR"/>
        </w:rPr>
      </w:pPr>
      <w:r>
        <w:rPr>
          <w:sz w:val="24"/>
        </w:rPr>
        <w:tab/>
        <w:t>14)</w:t>
      </w:r>
      <w:r>
        <w:rPr>
          <w:sz w:val="24"/>
        </w:rPr>
        <w:tab/>
        <w:t>Der rechtliche Schutz der finanziellen Interessen der Europäischen Gemeinscha</w:t>
      </w:r>
      <w:r>
        <w:rPr>
          <w:sz w:val="24"/>
        </w:rPr>
        <w:t>f</w:t>
      </w:r>
      <w:r>
        <w:rPr>
          <w:sz w:val="24"/>
        </w:rPr>
        <w:t xml:space="preserve">ten nach deutschem Recht und seine gemeinschaftsrechtlichen Grundlagen, Stellungnahme vor dem Ausschuß für Haushaltskontrolle des Europäischen Parlaments am 31. </w:t>
      </w:r>
      <w:r>
        <w:rPr>
          <w:sz w:val="24"/>
          <w:lang w:val="fr-FR"/>
        </w:rPr>
        <w:t>Januar 1991 in Brüssel im Rahmen einer Expertenanhörung, Commission du contrôle budgetaire, Réunion du mercredi 30 janvier 1991 et jeudi 31 janvier 1991, Bruxelles, Compte rendu, Audition p</w:t>
      </w:r>
      <w:r>
        <w:rPr>
          <w:sz w:val="24"/>
          <w:lang w:val="fr-FR"/>
        </w:rPr>
        <w:t>u</w:t>
      </w:r>
      <w:r>
        <w:rPr>
          <w:sz w:val="24"/>
          <w:lang w:val="fr-FR"/>
        </w:rPr>
        <w:t>blique sur “La protection des intérêts financiers de la Communauté: Pour une meilleure util</w:t>
      </w:r>
      <w:r>
        <w:rPr>
          <w:sz w:val="24"/>
          <w:lang w:val="fr-FR"/>
        </w:rPr>
        <w:t>i</w:t>
      </w:r>
      <w:r>
        <w:rPr>
          <w:sz w:val="24"/>
          <w:lang w:val="fr-FR"/>
        </w:rPr>
        <w:t>sation des moyens techniques disponibles“, Annexe (PE 152.416/Ann.), S. 67 – 71</w:t>
      </w:r>
    </w:p>
    <w:p w:rsidR="00D3076A" w:rsidRDefault="00D3076A">
      <w:pPr>
        <w:spacing w:after="120"/>
        <w:jc w:val="both"/>
        <w:rPr>
          <w:sz w:val="24"/>
          <w:lang w:val="fr-FR"/>
        </w:rPr>
      </w:pPr>
    </w:p>
    <w:p w:rsidR="00D3076A" w:rsidRPr="00A42ECD" w:rsidRDefault="00D3076A">
      <w:pPr>
        <w:tabs>
          <w:tab w:val="left" w:pos="567"/>
          <w:tab w:val="left" w:pos="1134"/>
        </w:tabs>
        <w:spacing w:after="120"/>
        <w:jc w:val="both"/>
        <w:rPr>
          <w:sz w:val="24"/>
          <w:lang w:val="fr-FR"/>
        </w:rPr>
      </w:pPr>
      <w:r>
        <w:rPr>
          <w:sz w:val="24"/>
          <w:lang w:val="fr-FR"/>
        </w:rPr>
        <w:tab/>
      </w:r>
      <w:r w:rsidRPr="00A42ECD">
        <w:rPr>
          <w:sz w:val="24"/>
          <w:lang w:val="fr-FR"/>
        </w:rPr>
        <w:t>15)</w:t>
      </w:r>
      <w:r w:rsidRPr="00A42ECD">
        <w:rPr>
          <w:sz w:val="24"/>
          <w:lang w:val="fr-FR"/>
        </w:rPr>
        <w:tab/>
        <w:t>The European Dimension of German Reunification: East Germany's Integration into the European Communities, Zeitschrift für ausländisches öffentliches Recht und Völke</w:t>
      </w:r>
      <w:r w:rsidRPr="00A42ECD">
        <w:rPr>
          <w:sz w:val="24"/>
          <w:lang w:val="fr-FR"/>
        </w:rPr>
        <w:t>r</w:t>
      </w:r>
      <w:r w:rsidRPr="00A42ECD">
        <w:rPr>
          <w:sz w:val="24"/>
          <w:lang w:val="fr-FR"/>
        </w:rPr>
        <w:t>recht Bd. 51 (1991), S. 384 – 450</w:t>
      </w:r>
    </w:p>
    <w:p w:rsidR="00D3076A" w:rsidRPr="00A42ECD" w:rsidRDefault="00D3076A">
      <w:pPr>
        <w:spacing w:after="120"/>
        <w:jc w:val="both"/>
        <w:rPr>
          <w:sz w:val="24"/>
          <w:lang w:val="fr-FR"/>
        </w:rPr>
      </w:pPr>
    </w:p>
    <w:p w:rsidR="00D3076A" w:rsidRDefault="00D3076A">
      <w:pPr>
        <w:pStyle w:val="Textkrper2"/>
        <w:tabs>
          <w:tab w:val="left" w:pos="567"/>
          <w:tab w:val="left" w:pos="1134"/>
        </w:tabs>
        <w:spacing w:after="120"/>
      </w:pPr>
      <w:r w:rsidRPr="00A42ECD">
        <w:rPr>
          <w:lang w:val="fr-FR"/>
        </w:rPr>
        <w:tab/>
      </w:r>
      <w:r>
        <w:t>16)</w:t>
      </w:r>
      <w:r>
        <w:tab/>
        <w:t>Europa 1992: Die europäische Dimension der deutschen Wiedervereinigung – Rechtliche Bewältigung der Integration der ehemaligen DDR in die EG, Juristische Schulung 1991, S. 996 – 1002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2"/>
        <w:tabs>
          <w:tab w:val="left" w:pos="567"/>
          <w:tab w:val="left" w:pos="1134"/>
        </w:tabs>
        <w:spacing w:after="120"/>
      </w:pPr>
      <w:r>
        <w:tab/>
        <w:t>17)</w:t>
      </w:r>
      <w:r>
        <w:tab/>
        <w:t>Deutsche Rechtsprechung in völkerrechtlichen Fragen 1990, Zeitschrift für au</w:t>
      </w:r>
      <w:r>
        <w:t>s</w:t>
      </w:r>
      <w:r>
        <w:t>ländisches öffentliches Recht und Völkerrecht Bd. 52 (1992), S. 355 – 462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Pr="00A42ECD" w:rsidRDefault="00D3076A">
      <w:pPr>
        <w:pStyle w:val="Textkrper2"/>
        <w:tabs>
          <w:tab w:val="left" w:pos="567"/>
          <w:tab w:val="left" w:pos="1134"/>
        </w:tabs>
        <w:spacing w:after="120"/>
        <w:rPr>
          <w:lang w:val="en-US"/>
        </w:rPr>
      </w:pPr>
      <w:r>
        <w:tab/>
        <w:t>18)</w:t>
      </w:r>
      <w:r>
        <w:tab/>
        <w:t>Vereinigte Staaten von Amerika – Verfassung und Recht, in: Staatslexikon, he</w:t>
      </w:r>
      <w:r>
        <w:t>r</w:t>
      </w:r>
      <w:r>
        <w:t xml:space="preserve">ausgegeben von der Görres-Gesellschaft (7. </w:t>
      </w:r>
      <w:r w:rsidRPr="00A42ECD">
        <w:rPr>
          <w:lang w:val="en-US"/>
        </w:rPr>
        <w:t>Aufl.), Bd. 6/1992, S. 377 – 380 (zusammen mit Prof. Dr. Helmut Steinberger)</w:t>
      </w:r>
    </w:p>
    <w:p w:rsidR="00D3076A" w:rsidRPr="00A42ECD" w:rsidRDefault="00D3076A">
      <w:pPr>
        <w:spacing w:after="120"/>
        <w:jc w:val="both"/>
        <w:rPr>
          <w:sz w:val="24"/>
          <w:lang w:val="en-US"/>
        </w:rPr>
      </w:pPr>
    </w:p>
    <w:p w:rsidR="00D3076A" w:rsidRDefault="00D3076A">
      <w:pPr>
        <w:tabs>
          <w:tab w:val="left" w:pos="567"/>
          <w:tab w:val="left" w:pos="1134"/>
        </w:tabs>
        <w:spacing w:after="120"/>
        <w:jc w:val="both"/>
        <w:rPr>
          <w:sz w:val="24"/>
          <w:lang w:val="en-GB"/>
        </w:rPr>
      </w:pPr>
      <w:r w:rsidRPr="00A42ECD">
        <w:rPr>
          <w:sz w:val="24"/>
          <w:lang w:val="en-US"/>
        </w:rPr>
        <w:tab/>
      </w:r>
      <w:r>
        <w:rPr>
          <w:sz w:val="24"/>
          <w:lang w:val="en-GB"/>
        </w:rPr>
        <w:t>19)</w:t>
      </w:r>
      <w:r>
        <w:rPr>
          <w:sz w:val="24"/>
          <w:lang w:val="en-GB"/>
        </w:rPr>
        <w:tab/>
        <w:t>Buttes Gas and Oil Co. v. Hammer, in: Rudolf Bernhardt (ed.), Encyclopedia of Public International Law, Volume One (Consolidated Library Edition), Amsterdam u.a. 1992, S. 513 – 516</w:t>
      </w:r>
    </w:p>
    <w:p w:rsidR="00D3076A" w:rsidRDefault="00D3076A">
      <w:pPr>
        <w:spacing w:after="120"/>
        <w:jc w:val="both"/>
        <w:rPr>
          <w:sz w:val="24"/>
          <w:lang w:val="en-GB"/>
        </w:rPr>
      </w:pPr>
    </w:p>
    <w:p w:rsidR="00D3076A" w:rsidRDefault="00D3076A">
      <w:pPr>
        <w:tabs>
          <w:tab w:val="left" w:pos="567"/>
          <w:tab w:val="left" w:pos="1134"/>
        </w:tabs>
        <w:spacing w:after="120"/>
        <w:jc w:val="both"/>
        <w:rPr>
          <w:sz w:val="24"/>
        </w:rPr>
      </w:pPr>
      <w:r>
        <w:rPr>
          <w:sz w:val="24"/>
          <w:lang w:val="en-GB"/>
        </w:rPr>
        <w:tab/>
      </w:r>
      <w:r>
        <w:rPr>
          <w:sz w:val="24"/>
        </w:rPr>
        <w:t>20)</w:t>
      </w:r>
      <w:r>
        <w:rPr>
          <w:sz w:val="24"/>
        </w:rPr>
        <w:tab/>
        <w:t>Die Verfassungsbeschwerde an der Schnittstelle von deutschem, internationalem und supranationalem Recht, in: Christoph Grabenwarter u.a. (Hrsg.), Allgemeinheit der Grundrechte und Vielfalt der Gesellschaft (1994), S. 101 – 128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2"/>
        <w:tabs>
          <w:tab w:val="left" w:pos="567"/>
          <w:tab w:val="left" w:pos="1134"/>
        </w:tabs>
        <w:spacing w:after="120"/>
      </w:pPr>
      <w:r>
        <w:tab/>
        <w:t>21)</w:t>
      </w:r>
      <w:r>
        <w:tab/>
        <w:t>Richtermacht und Todesstrafe in den USA: Gewaltenteilung, verfassungsstaatl</w:t>
      </w:r>
      <w:r>
        <w:t>i</w:t>
      </w:r>
      <w:r>
        <w:t>che und völkerrechtliche Humanitätsstandards in Kollision, Europäische Grundrechte Zei</w:t>
      </w:r>
      <w:r>
        <w:t>t</w:t>
      </w:r>
      <w:r>
        <w:t>schrift 22. Jg. (1995), S. 1 – 16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Pr="00A42ECD" w:rsidRDefault="00D3076A">
      <w:pPr>
        <w:pStyle w:val="Textkrper2"/>
        <w:tabs>
          <w:tab w:val="left" w:pos="567"/>
          <w:tab w:val="left" w:pos="1134"/>
        </w:tabs>
        <w:spacing w:after="120"/>
        <w:rPr>
          <w:lang w:val="en-US"/>
        </w:rPr>
      </w:pPr>
      <w:r>
        <w:tab/>
        <w:t>22)</w:t>
      </w:r>
      <w:r>
        <w:tab/>
        <w:t xml:space="preserve">Übersetzung der Sondervoten zur Entscheidung des United States Supreme Court im Falle Callins gegen Collins (22.2.1994), Europäische Grundrechte Zeitschrift 22. </w:t>
      </w:r>
      <w:r w:rsidRPr="00A42ECD">
        <w:rPr>
          <w:lang w:val="en-US"/>
        </w:rPr>
        <w:t>Jg. (1995), S. 26 – 31</w:t>
      </w:r>
    </w:p>
    <w:p w:rsidR="00D3076A" w:rsidRPr="00A42ECD" w:rsidRDefault="00D3076A">
      <w:pPr>
        <w:spacing w:after="120"/>
        <w:jc w:val="both"/>
        <w:rPr>
          <w:sz w:val="24"/>
          <w:lang w:val="en-US"/>
        </w:rPr>
      </w:pPr>
    </w:p>
    <w:p w:rsidR="00D3076A" w:rsidRDefault="00D3076A">
      <w:pPr>
        <w:tabs>
          <w:tab w:val="left" w:pos="567"/>
          <w:tab w:val="left" w:pos="1134"/>
        </w:tabs>
        <w:spacing w:after="120"/>
        <w:jc w:val="both"/>
        <w:rPr>
          <w:sz w:val="24"/>
          <w:lang w:val="en-GB"/>
        </w:rPr>
      </w:pPr>
      <w:r w:rsidRPr="00A42ECD">
        <w:rPr>
          <w:sz w:val="24"/>
          <w:lang w:val="en-US"/>
        </w:rPr>
        <w:tab/>
      </w:r>
      <w:r>
        <w:rPr>
          <w:sz w:val="24"/>
          <w:lang w:val="en-GB"/>
        </w:rPr>
        <w:t>23)</w:t>
      </w:r>
      <w:r>
        <w:rPr>
          <w:sz w:val="24"/>
          <w:lang w:val="en-GB"/>
        </w:rPr>
        <w:tab/>
        <w:t>Factortame Case, in: Rudolf Bernhardt (ed.), Encyclopedia of Public International Law, Volume Two (Consolidated Library Edition), Amsterdam u.a. 1995, S. 345 – 352</w:t>
      </w:r>
    </w:p>
    <w:p w:rsidR="00D3076A" w:rsidRDefault="00D3076A">
      <w:pPr>
        <w:spacing w:after="120"/>
        <w:jc w:val="both"/>
        <w:rPr>
          <w:sz w:val="24"/>
          <w:lang w:val="en-GB"/>
        </w:rPr>
      </w:pPr>
    </w:p>
    <w:p w:rsidR="00D3076A" w:rsidRDefault="00D3076A">
      <w:pPr>
        <w:tabs>
          <w:tab w:val="left" w:pos="567"/>
          <w:tab w:val="left" w:pos="1134"/>
        </w:tabs>
        <w:spacing w:after="120"/>
        <w:jc w:val="both"/>
        <w:rPr>
          <w:sz w:val="24"/>
        </w:rPr>
      </w:pPr>
      <w:r>
        <w:rPr>
          <w:sz w:val="24"/>
          <w:lang w:val="en-GB"/>
        </w:rPr>
        <w:tab/>
      </w:r>
      <w:r>
        <w:rPr>
          <w:sz w:val="24"/>
        </w:rPr>
        <w:t>24)</w:t>
      </w:r>
      <w:r>
        <w:rPr>
          <w:sz w:val="24"/>
        </w:rPr>
        <w:tab/>
        <w:t>Fischzug in Belgien – Gewerbeverbot in Deutschland (Examensklausur im Öffen</w:t>
      </w:r>
      <w:r>
        <w:rPr>
          <w:sz w:val="24"/>
        </w:rPr>
        <w:t>t</w:t>
      </w:r>
      <w:r>
        <w:rPr>
          <w:sz w:val="24"/>
        </w:rPr>
        <w:t>lichen Recht), Jura 1995, S. 374 – 379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2"/>
        <w:tabs>
          <w:tab w:val="left" w:pos="567"/>
          <w:tab w:val="left" w:pos="1134"/>
        </w:tabs>
        <w:spacing w:after="120"/>
      </w:pPr>
      <w:r>
        <w:tab/>
        <w:t>25)</w:t>
      </w:r>
      <w:r>
        <w:tab/>
        <w:t>Vorbehalte zu Menschenrechtsabkommen: Zulässigkeit, Gültigkeit und Prüfung</w:t>
      </w:r>
      <w:r>
        <w:t>s</w:t>
      </w:r>
      <w:r>
        <w:t>kompetenzen von Vertragsgremien. Ein konstitutioneller Ansatz, Zeitschrift für ausländisches öffentliches Recht und Völkerrecht Bd. 55 (1995), S. 713 – 782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2"/>
        <w:tabs>
          <w:tab w:val="left" w:pos="567"/>
          <w:tab w:val="left" w:pos="1134"/>
        </w:tabs>
        <w:spacing w:after="120"/>
      </w:pPr>
      <w:r>
        <w:tab/>
        <w:t>26)</w:t>
      </w:r>
      <w:r>
        <w:tab/>
        <w:t>Besprechungsaufsatz zu Mestmäcker, Ernst-Joachim/Engel, Christoph: Das E</w:t>
      </w:r>
      <w:r>
        <w:t>m</w:t>
      </w:r>
      <w:r>
        <w:t>bargo gegen Irak und Kuwait. Entschädigungsansprüche gegen die Europäische Gemeinschaft und gegen die Bundesrepublik Deutschland (1991), Rabels Zeitschrift für ausländisches und internationales Privatrecht Bd. 59 (1995), S. 759 – 767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2"/>
        <w:tabs>
          <w:tab w:val="left" w:pos="567"/>
          <w:tab w:val="left" w:pos="1134"/>
        </w:tabs>
        <w:spacing w:after="120"/>
      </w:pPr>
      <w:r>
        <w:tab/>
        <w:t>27)</w:t>
      </w:r>
      <w:r>
        <w:tab/>
        <w:t>Europarecht und deutsches Recht – Wechselwirkungen in der Fallbearbeitung, Juristische Schulung 37. Jahrgang (1997), S. 39 – 43 (Heft 1); S. 335 – 340 (Heft 4); S. 426 – 431 (Heft 5); S. 522 – 528 (Heft 6); S. 619 – 625 (Heft 7); S. 714 – 718 (Heft 8)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2"/>
        <w:tabs>
          <w:tab w:val="left" w:pos="567"/>
          <w:tab w:val="left" w:pos="1134"/>
        </w:tabs>
        <w:spacing w:after="120"/>
      </w:pPr>
      <w:r>
        <w:tab/>
        <w:t>28)</w:t>
      </w:r>
      <w:r>
        <w:tab/>
        <w:t xml:space="preserve">Verfassungsgerichtliche Kontrolle der auswärtigen Gewalt im europäisch-atlantischen Verfassungsstaat: Vergleichende Bestandsaufnahme mit Ausblick auf die neuen Demokratien in Mittel- und Osteuropa, Zeitschrift für ausländisches öffentliches Recht und Völkerrecht Bd. 57 (1997), S. 409 – 564 </w:t>
      </w:r>
    </w:p>
    <w:p w:rsidR="00D3076A" w:rsidRDefault="00D3076A">
      <w:pPr>
        <w:pStyle w:val="Textkrper-Einzug2"/>
      </w:pPr>
      <w:r>
        <w:lastRenderedPageBreak/>
        <w:t>(Kurzfassung davon in: Jochen Abr. Frowein/Thilo Marauhn [Hrsg.], Grundfragen der Verfassungsgerichtsbarkeit in Mittel- und Osteuropa, Berlin u.a. 1998, S. 501 – 535)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2"/>
        <w:tabs>
          <w:tab w:val="left" w:pos="567"/>
          <w:tab w:val="left" w:pos="1134"/>
        </w:tabs>
        <w:spacing w:after="120"/>
      </w:pPr>
      <w:r>
        <w:tab/>
        <w:t>29)</w:t>
      </w:r>
      <w:r>
        <w:tab/>
        <w:t>Deutsche Rechtsprechung zum Völkerrecht und Europarecht 1986 – 1993, He</w:t>
      </w:r>
      <w:r>
        <w:t>i</w:t>
      </w:r>
      <w:r>
        <w:t>delberg 1997, XXII, 831 S. (Hauptbearbeiter)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-Einzug2"/>
        <w:tabs>
          <w:tab w:val="left" w:pos="1134"/>
        </w:tabs>
      </w:pPr>
      <w:r>
        <w:t>30)</w:t>
      </w:r>
      <w:r>
        <w:tab/>
        <w:t>Anmerkung zum Urteil des Gerichtshofs der Europäischen Gemeinschaften vom 17.2.1998 (Rs. C-249/96 – Grant ./. South-West Trains Ltd.), Juristen Zeitung, 53. Jahrgang 1998 (Heft 14), S. 726 – 730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tabs>
          <w:tab w:val="left" w:pos="567"/>
          <w:tab w:val="left" w:pos="1134"/>
        </w:tabs>
        <w:spacing w:after="120"/>
        <w:jc w:val="both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  <w:lang w:val="en-GB"/>
        </w:rPr>
        <w:t>31)</w:t>
      </w:r>
      <w:r>
        <w:rPr>
          <w:sz w:val="24"/>
          <w:lang w:val="en-GB"/>
        </w:rPr>
        <w:tab/>
        <w:t>The Palestinian Autonomy and International Human Rights Law: Perspectives on an Ongoing Process of Nation-Building, in: Amos Shapira/Mala Tabory (eds.), New Political Entities in Public and Private International Law, The Hague 1999, S. 183 – 230 (Manuskript abgeschlossen im Sommer 1996)</w:t>
      </w:r>
    </w:p>
    <w:p w:rsidR="00D3076A" w:rsidRDefault="00D3076A">
      <w:pPr>
        <w:spacing w:after="120"/>
        <w:jc w:val="both"/>
        <w:rPr>
          <w:sz w:val="24"/>
          <w:lang w:val="en-GB"/>
        </w:rPr>
      </w:pPr>
    </w:p>
    <w:p w:rsidR="00D3076A" w:rsidRDefault="00D3076A">
      <w:pPr>
        <w:tabs>
          <w:tab w:val="left" w:pos="567"/>
          <w:tab w:val="left" w:pos="1134"/>
        </w:tabs>
        <w:spacing w:after="120"/>
        <w:jc w:val="both"/>
        <w:rPr>
          <w:sz w:val="24"/>
        </w:rPr>
      </w:pPr>
      <w:r>
        <w:rPr>
          <w:sz w:val="24"/>
          <w:lang w:val="en-GB"/>
        </w:rPr>
        <w:tab/>
      </w:r>
      <w:r>
        <w:rPr>
          <w:sz w:val="24"/>
        </w:rPr>
        <w:t>32)</w:t>
      </w:r>
      <w:r>
        <w:rPr>
          <w:sz w:val="24"/>
        </w:rPr>
        <w:tab/>
        <w:t>Anmerkung zum Urteil des Bundesverwaltungsgerichts vom 18.2.1999 (3 C 10.98), Europäische Zeitschrift für Wirtschaftsrecht, 10. Jahrgang 1999 (Heft 18), S. 574 – 575 (zusammen mit Dagmar Richter)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2"/>
        <w:tabs>
          <w:tab w:val="left" w:pos="567"/>
          <w:tab w:val="left" w:pos="1134"/>
        </w:tabs>
        <w:spacing w:after="120"/>
      </w:pPr>
      <w:r>
        <w:tab/>
        <w:t>33)</w:t>
      </w:r>
      <w:r>
        <w:tab/>
        <w:t>Schutz der Persönlichkeit und Medienfreiheit nach Artt. 8, 10 EMRK im Ve</w:t>
      </w:r>
      <w:r>
        <w:t>r</w:t>
      </w:r>
      <w:r>
        <w:t>gleich mit dem Grundgesetz, Rabels Zeitschrift für ausländisches und internationales Priva</w:t>
      </w:r>
      <w:r>
        <w:t>t</w:t>
      </w:r>
      <w:r>
        <w:t>recht, Bd. 63 (1999), S. 471 – 506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2"/>
        <w:tabs>
          <w:tab w:val="left" w:pos="567"/>
          <w:tab w:val="left" w:pos="1134"/>
        </w:tabs>
        <w:spacing w:after="120"/>
      </w:pPr>
      <w:r>
        <w:tab/>
        <w:t>34)</w:t>
      </w:r>
      <w:r>
        <w:tab/>
        <w:t>Die antirassistische Großkundgebung und ihr Müllproblem, JURA – Juristische Ausbildung, Sonderheft Examensklausurenkurs 2000, S. 81 – 88 (zusammen mit Dr. Dagmar Richter)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tabs>
          <w:tab w:val="left" w:pos="567"/>
          <w:tab w:val="left" w:pos="1134"/>
        </w:tabs>
        <w:spacing w:after="120"/>
        <w:jc w:val="both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  <w:lang w:val="en-GB"/>
        </w:rPr>
        <w:t>35)</w:t>
      </w:r>
      <w:r>
        <w:rPr>
          <w:sz w:val="24"/>
          <w:lang w:val="en-GB"/>
        </w:rPr>
        <w:tab/>
        <w:t>Addendum zu: Treaties, Reservations, in: Bernhardt, Rudolf (Hrsg.), Encyclop</w:t>
      </w:r>
      <w:r>
        <w:rPr>
          <w:sz w:val="24"/>
          <w:lang w:val="en-GB"/>
        </w:rPr>
        <w:t>e</w:t>
      </w:r>
      <w:r>
        <w:rPr>
          <w:sz w:val="24"/>
          <w:lang w:val="en-GB"/>
        </w:rPr>
        <w:t>dia of Public International Law, Volume Four (Consolidated Library Edition), Amsterdam u.a. 2000, S. 968 – 980</w:t>
      </w:r>
    </w:p>
    <w:p w:rsidR="00D3076A" w:rsidRDefault="00D3076A">
      <w:pPr>
        <w:spacing w:after="120"/>
        <w:ind w:left="709"/>
        <w:jc w:val="both"/>
        <w:rPr>
          <w:sz w:val="24"/>
          <w:lang w:val="en-GB"/>
        </w:rPr>
      </w:pPr>
    </w:p>
    <w:p w:rsidR="00D3076A" w:rsidRDefault="00D3076A">
      <w:pPr>
        <w:tabs>
          <w:tab w:val="left" w:pos="567"/>
          <w:tab w:val="left" w:pos="1134"/>
        </w:tabs>
        <w:ind w:left="567"/>
        <w:jc w:val="both"/>
        <w:rPr>
          <w:sz w:val="24"/>
        </w:rPr>
      </w:pPr>
      <w:r>
        <w:rPr>
          <w:sz w:val="24"/>
        </w:rPr>
        <w:t>36)</w:t>
      </w:r>
      <w:r>
        <w:rPr>
          <w:sz w:val="24"/>
        </w:rPr>
        <w:tab/>
        <w:t>Religionsfreiheit als Gleichheitsanspruch und Gleichheitsproblem, in: Grote,</w:t>
      </w:r>
    </w:p>
    <w:p w:rsidR="00D3076A" w:rsidRDefault="00D3076A">
      <w:pPr>
        <w:pStyle w:val="Textkrper"/>
        <w:spacing w:after="120"/>
        <w:jc w:val="both"/>
      </w:pPr>
      <w:r>
        <w:t xml:space="preserve">Rainer/Marauhn, Thilo (Hrsg.), Religionsfreiheit zwischen individueller Selbstbestimmung, Minderheitenschutz und Staatskirchenrecht – Völker- und verfassungsrechtliche Perspektiven, Heidelberg 2001, S. 241 – 309 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2"/>
        <w:tabs>
          <w:tab w:val="left" w:pos="567"/>
          <w:tab w:val="left" w:pos="1134"/>
        </w:tabs>
        <w:spacing w:after="120"/>
      </w:pPr>
      <w:r>
        <w:tab/>
        <w:t>37)</w:t>
      </w:r>
      <w:r>
        <w:tab/>
        <w:t>Vereinigte Staaten von Amerika, in: Giegerich, Thomas/Wolfrum, Rüdiger (Hrsg.), Einwanderungsrecht – national und international. Staatliches Recht, Europa- und Völkerrecht, Opladen 2001, S. 435 – 478 (zusammen mit Anja Seibert-Fohr)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2"/>
        <w:tabs>
          <w:tab w:val="left" w:pos="567"/>
          <w:tab w:val="left" w:pos="1134"/>
        </w:tabs>
        <w:spacing w:after="120"/>
      </w:pPr>
      <w:r>
        <w:lastRenderedPageBreak/>
        <w:tab/>
        <w:t>38)</w:t>
      </w:r>
      <w:r>
        <w:tab/>
        <w:t>Rechtliche Steuerung der Einwanderung – Vergleichende Analyse nationaler M</w:t>
      </w:r>
      <w:r>
        <w:t>o</w:t>
      </w:r>
      <w:r>
        <w:t>delle im Spiegel zunehmender internationalrechtlicher Vorgaben, in: Giegerich, Thomas/Wolfrum, Rüdiger (Hrsg.), Einwanderungsrecht – national und international. Staatl</w:t>
      </w:r>
      <w:r>
        <w:t>i</w:t>
      </w:r>
      <w:r>
        <w:t>ches Recht, Europa- und Völkerrecht, Opladen 2001, S. 481 – 511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Pr="00A42ECD" w:rsidRDefault="00D3076A">
      <w:pPr>
        <w:pStyle w:val="Textkrper2"/>
        <w:tabs>
          <w:tab w:val="left" w:pos="567"/>
          <w:tab w:val="left" w:pos="1134"/>
        </w:tabs>
        <w:spacing w:after="120"/>
        <w:rPr>
          <w:lang w:val="en-US"/>
        </w:rPr>
      </w:pPr>
      <w:r>
        <w:tab/>
        <w:t>39)</w:t>
      </w:r>
      <w:r>
        <w:tab/>
        <w:t>Gemeindeunternehmen zwischen Kompetenz, Konkurrenz und Kohärenz: Privat</w:t>
      </w:r>
      <w:r>
        <w:t>i</w:t>
      </w:r>
      <w:r>
        <w:t>sierung, Reform des kommunalen Wirtschaftsrechts und Widerspruchsfreiheit der Rechtsor</w:t>
      </w:r>
      <w:r>
        <w:t>d</w:t>
      </w:r>
      <w:r>
        <w:t xml:space="preserve">nung, in: Cremer, Hans-Joachim/Giegerich, Thomas/Richter, Dagmar/Zimmermann, Andreas (Hrsg.), Tradition und Weltoffenheit des Rechts. </w:t>
      </w:r>
      <w:r w:rsidRPr="00A42ECD">
        <w:rPr>
          <w:lang w:val="en-US"/>
        </w:rPr>
        <w:t>Festschrift für Helmut Steinberger, Berlin u.a. 2002, S. 419 – 465 (Habilitationsvortrag)</w:t>
      </w:r>
    </w:p>
    <w:p w:rsidR="00D3076A" w:rsidRPr="00A42ECD" w:rsidRDefault="00D3076A">
      <w:pPr>
        <w:spacing w:after="120"/>
        <w:jc w:val="both"/>
        <w:rPr>
          <w:sz w:val="24"/>
          <w:lang w:val="en-US"/>
        </w:rPr>
      </w:pPr>
    </w:p>
    <w:p w:rsidR="00D3076A" w:rsidRDefault="00D3076A">
      <w:pPr>
        <w:tabs>
          <w:tab w:val="left" w:pos="567"/>
          <w:tab w:val="left" w:pos="1134"/>
        </w:tabs>
        <w:spacing w:after="120"/>
        <w:jc w:val="both"/>
        <w:rPr>
          <w:sz w:val="24"/>
          <w:lang w:val="en-GB"/>
        </w:rPr>
      </w:pPr>
      <w:r w:rsidRPr="00A42ECD">
        <w:rPr>
          <w:sz w:val="24"/>
          <w:lang w:val="en-US"/>
        </w:rPr>
        <w:tab/>
      </w:r>
      <w:r>
        <w:rPr>
          <w:sz w:val="24"/>
          <w:lang w:val="en-GB"/>
        </w:rPr>
        <w:t>40)</w:t>
      </w:r>
      <w:r>
        <w:rPr>
          <w:sz w:val="24"/>
          <w:lang w:val="en-GB"/>
        </w:rPr>
        <w:tab/>
        <w:t>Freedom of Religion as a Source of Claims to Equality and Problems for Equality, Israel Law Review, Volume 34, Issue 2 (2000), S. 211 – 259 (kürzere englische Fassung von Nr. 36)</w:t>
      </w:r>
    </w:p>
    <w:p w:rsidR="00D3076A" w:rsidRDefault="00D3076A">
      <w:pPr>
        <w:spacing w:after="120"/>
        <w:jc w:val="both"/>
        <w:rPr>
          <w:sz w:val="24"/>
          <w:lang w:val="en-GB"/>
        </w:rPr>
      </w:pPr>
    </w:p>
    <w:p w:rsidR="00D3076A" w:rsidRDefault="00D3076A">
      <w:pPr>
        <w:tabs>
          <w:tab w:val="left" w:pos="567"/>
          <w:tab w:val="left" w:pos="1134"/>
        </w:tabs>
        <w:spacing w:after="120"/>
        <w:jc w:val="both"/>
        <w:rPr>
          <w:sz w:val="24"/>
        </w:rPr>
      </w:pPr>
      <w:r>
        <w:rPr>
          <w:sz w:val="24"/>
          <w:lang w:val="en-GB"/>
        </w:rPr>
        <w:tab/>
      </w:r>
      <w:r>
        <w:rPr>
          <w:sz w:val="24"/>
        </w:rPr>
        <w:t>41)</w:t>
      </w:r>
      <w:r>
        <w:rPr>
          <w:sz w:val="24"/>
        </w:rPr>
        <w:tab/>
        <w:t>Extraterritorialer Menschenrechtsschutz durch US-Gerichte: Sachwalterschaft für die internationale Gemeinschaft oder judizieller Imperialismus?, in: Klein, Eckart/Menke, Christoph (Hrsg.), Menschheit und Menschenrechte, Berlin 2002, S. 155 – 166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2"/>
        <w:tabs>
          <w:tab w:val="left" w:pos="567"/>
          <w:tab w:val="left" w:pos="1134"/>
        </w:tabs>
        <w:spacing w:after="120"/>
      </w:pPr>
      <w:r>
        <w:tab/>
        <w:t>42)</w:t>
      </w:r>
      <w:r>
        <w:tab/>
        <w:t>Zulässige EU-Förderung auf der KMU-Schiene?, in: Marauhn, Thilo/Heselhaus, Sebastian (Hrsg.), Staatliche Förderung für regionale Produkte, Tübingen 2004, S. 241 – 256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Pr="00A42ECD" w:rsidRDefault="00D3076A">
      <w:pPr>
        <w:tabs>
          <w:tab w:val="left" w:pos="567"/>
          <w:tab w:val="left" w:pos="1134"/>
        </w:tabs>
        <w:spacing w:after="120"/>
        <w:jc w:val="both"/>
        <w:rPr>
          <w:sz w:val="24"/>
        </w:rPr>
      </w:pPr>
      <w:r>
        <w:rPr>
          <w:sz w:val="24"/>
        </w:rPr>
        <w:tab/>
        <w:t>43)</w:t>
      </w:r>
      <w:r>
        <w:rPr>
          <w:sz w:val="24"/>
        </w:rPr>
        <w:tab/>
        <w:t>Privatwirkung von Richtlinien – verpasste Gelegenheiten (Editorial), Europä</w:t>
      </w:r>
      <w:r>
        <w:rPr>
          <w:sz w:val="24"/>
        </w:rPr>
        <w:t>i</w:t>
      </w:r>
      <w:r>
        <w:rPr>
          <w:sz w:val="24"/>
        </w:rPr>
        <w:t xml:space="preserve">sches Wirtschafts- und Steuerrecht, 15. </w:t>
      </w:r>
      <w:r w:rsidRPr="00A42ECD">
        <w:rPr>
          <w:sz w:val="24"/>
        </w:rPr>
        <w:t>Jg., Heft 12 (2004), S. I</w:t>
      </w:r>
    </w:p>
    <w:p w:rsidR="00D3076A" w:rsidRPr="00A42ECD" w:rsidRDefault="00D3076A">
      <w:pPr>
        <w:spacing w:after="120"/>
        <w:jc w:val="both"/>
        <w:rPr>
          <w:sz w:val="24"/>
        </w:rPr>
      </w:pPr>
    </w:p>
    <w:p w:rsidR="00D3076A" w:rsidRDefault="00D3076A">
      <w:pPr>
        <w:tabs>
          <w:tab w:val="left" w:pos="567"/>
          <w:tab w:val="left" w:pos="1134"/>
        </w:tabs>
        <w:spacing w:after="120"/>
        <w:jc w:val="both"/>
        <w:rPr>
          <w:sz w:val="24"/>
        </w:rPr>
      </w:pPr>
      <w:r w:rsidRPr="00A42ECD">
        <w:rPr>
          <w:sz w:val="24"/>
        </w:rPr>
        <w:tab/>
      </w:r>
      <w:r>
        <w:rPr>
          <w:sz w:val="24"/>
        </w:rPr>
        <w:t>44)</w:t>
      </w:r>
      <w:r>
        <w:rPr>
          <w:sz w:val="24"/>
        </w:rPr>
        <w:tab/>
        <w:t>Schadensersatzklage eines Mexikaners wegen völkerrechtswidriger Entführung durch US-Agenten nach dem Alien Tort Claims Act abgewiesen (auszugsweise Übersetzung der Entscheidung Sosa v. Alvarez-Machain des U.S. Supreme Court v. 29.6.2004), Europä</w:t>
      </w:r>
      <w:r>
        <w:rPr>
          <w:sz w:val="24"/>
        </w:rPr>
        <w:t>i</w:t>
      </w:r>
      <w:r>
        <w:rPr>
          <w:sz w:val="24"/>
        </w:rPr>
        <w:t>sche Grundrechte Zeitschrift, 31. Jg. (2004), S. 643 – 648 (zusammen mit Nora Janssen und Johannes Mosters)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2"/>
        <w:tabs>
          <w:tab w:val="left" w:pos="567"/>
          <w:tab w:val="left" w:pos="1134"/>
        </w:tabs>
        <w:spacing w:after="120"/>
      </w:pPr>
      <w:r>
        <w:tab/>
        <w:t>45)</w:t>
      </w:r>
      <w:r>
        <w:tab/>
        <w:t>Der Kampf um das Völkerrecht in den USA/Anm. zum Fall Alvarez-Machain II, Europäische Grundrechte Zeitschrift, 31. Jg. (2004), S. 648 – 650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-Zeileneinzug"/>
        <w:tabs>
          <w:tab w:val="left" w:pos="567"/>
          <w:tab w:val="left" w:pos="1134"/>
        </w:tabs>
        <w:spacing w:after="120"/>
        <w:ind w:firstLine="567"/>
      </w:pPr>
      <w:r>
        <w:t>46)</w:t>
      </w:r>
      <w:r>
        <w:tab/>
        <w:t>Grund- und Menschenrechte im globalen Zeitalter: Neubewertung ihrer territori</w:t>
      </w:r>
      <w:r>
        <w:t>a</w:t>
      </w:r>
      <w:r>
        <w:t>len, personalen und internationalen Dimension in Deutschland, Europa und den USA, Europ</w:t>
      </w:r>
      <w:r>
        <w:t>ä</w:t>
      </w:r>
      <w:r>
        <w:t>ische Grundrechte Zeitschrift 31. Jg. (2004), S. 758 – 777</w:t>
      </w:r>
    </w:p>
    <w:p w:rsidR="00D3076A" w:rsidRDefault="00D3076A">
      <w:pPr>
        <w:pStyle w:val="Textkrper-Zeileneinzug"/>
        <w:tabs>
          <w:tab w:val="left" w:pos="567"/>
          <w:tab w:val="left" w:pos="1134"/>
        </w:tabs>
        <w:spacing w:after="120"/>
        <w:ind w:firstLine="567"/>
      </w:pPr>
    </w:p>
    <w:p w:rsidR="00D3076A" w:rsidRDefault="00D3076A">
      <w:pPr>
        <w:pStyle w:val="Textkrper-Zeileneinzug"/>
        <w:tabs>
          <w:tab w:val="left" w:pos="567"/>
          <w:tab w:val="left" w:pos="1134"/>
        </w:tabs>
        <w:spacing w:after="120"/>
        <w:ind w:firstLine="567"/>
      </w:pPr>
      <w:r>
        <w:t>47)</w:t>
      </w:r>
      <w:r>
        <w:tab/>
        <w:t>Verantwortlichkeit und Haftung für Akte internationaler und supranationaler O</w:t>
      </w:r>
      <w:r>
        <w:t>r</w:t>
      </w:r>
      <w:r>
        <w:t xml:space="preserve">ganisationen, Zeitschrift für Vergleichende Rechtswissenschaft 104. Band (2005), S. 163 – 191 </w:t>
      </w:r>
    </w:p>
    <w:p w:rsidR="00D3076A" w:rsidRDefault="00D3076A">
      <w:pPr>
        <w:pStyle w:val="Textkrper-Zeileneinzug"/>
        <w:tabs>
          <w:tab w:val="left" w:pos="567"/>
          <w:tab w:val="left" w:pos="1134"/>
        </w:tabs>
        <w:spacing w:after="120"/>
        <w:ind w:firstLine="567"/>
      </w:pPr>
    </w:p>
    <w:p w:rsidR="00D3076A" w:rsidRPr="005A2D8A" w:rsidRDefault="00D3076A">
      <w:pPr>
        <w:pStyle w:val="Textkrper-Zeileneinzug"/>
        <w:tabs>
          <w:tab w:val="left" w:pos="567"/>
          <w:tab w:val="left" w:pos="1134"/>
        </w:tabs>
        <w:spacing w:after="120"/>
        <w:ind w:firstLine="567"/>
        <w:rPr>
          <w:lang w:val="en-US"/>
        </w:rPr>
      </w:pPr>
      <w:r>
        <w:lastRenderedPageBreak/>
        <w:t>48)</w:t>
      </w:r>
      <w:r>
        <w:tab/>
        <w:t>Von der Montanunion zur Europäischen Verfassung: Grundlinien einer fünfzi</w:t>
      </w:r>
      <w:r>
        <w:t>g</w:t>
      </w:r>
      <w:r>
        <w:t xml:space="preserve">jährigen europäischen Verfassungsdiskussion, in: Hofmann, Rainer/Zimmermann, Andreas (Hrsg.), Eine Verfassung für Europa. </w:t>
      </w:r>
      <w:r w:rsidRPr="005A2D8A">
        <w:rPr>
          <w:lang w:val="en-US"/>
        </w:rPr>
        <w:t>Die Rechtsordnung der Europäischen Union unter dem Verfassungsvertrag, 2005, S. 13 – 69</w:t>
      </w:r>
    </w:p>
    <w:p w:rsidR="00D3076A" w:rsidRPr="005A2D8A" w:rsidRDefault="00D3076A">
      <w:pPr>
        <w:pStyle w:val="Textkrper-Zeileneinzug"/>
        <w:tabs>
          <w:tab w:val="left" w:pos="567"/>
          <w:tab w:val="left" w:pos="1134"/>
        </w:tabs>
        <w:spacing w:after="120"/>
        <w:ind w:firstLine="567"/>
        <w:rPr>
          <w:lang w:val="en-US"/>
        </w:rPr>
      </w:pPr>
    </w:p>
    <w:p w:rsidR="00D3076A" w:rsidRDefault="00D3076A">
      <w:pPr>
        <w:pStyle w:val="Textkrper-Zeileneinzug"/>
        <w:tabs>
          <w:tab w:val="left" w:pos="567"/>
          <w:tab w:val="left" w:pos="1134"/>
        </w:tabs>
        <w:spacing w:after="120"/>
        <w:ind w:firstLine="567"/>
        <w:rPr>
          <w:lang w:val="fr-FR"/>
        </w:rPr>
      </w:pPr>
      <w:r>
        <w:rPr>
          <w:lang w:val="en-US"/>
        </w:rPr>
        <w:t>49)</w:t>
      </w:r>
      <w:r>
        <w:rPr>
          <w:lang w:val="en-US"/>
        </w:rPr>
        <w:tab/>
        <w:t xml:space="preserve">Do Damages Claims Arising from </w:t>
      </w:r>
      <w:r>
        <w:rPr>
          <w:i/>
          <w:iCs/>
          <w:lang w:val="en-US"/>
        </w:rPr>
        <w:t>Jus Cogens</w:t>
      </w:r>
      <w:r>
        <w:rPr>
          <w:lang w:val="en-US"/>
        </w:rPr>
        <w:t xml:space="preserve"> Violations Override State Immun</w:t>
      </w:r>
      <w:r>
        <w:rPr>
          <w:lang w:val="en-US"/>
        </w:rPr>
        <w:t>i</w:t>
      </w:r>
      <w:r>
        <w:rPr>
          <w:lang w:val="en-US"/>
        </w:rPr>
        <w:t xml:space="preserve">ty from the Jurisdiction of Foreign Courts?, in: Tomuschat, Christian/Thouvenin, Jean-Marc (eds.), The Fundamental Rules of the International Legal Order. </w:t>
      </w:r>
      <w:r>
        <w:rPr>
          <w:i/>
          <w:iCs/>
          <w:lang w:val="fr-FR"/>
        </w:rPr>
        <w:t>Jus Cogens</w:t>
      </w:r>
      <w:r>
        <w:rPr>
          <w:lang w:val="fr-FR"/>
        </w:rPr>
        <w:t xml:space="preserve"> and Obligations </w:t>
      </w:r>
      <w:r>
        <w:rPr>
          <w:i/>
          <w:iCs/>
          <w:lang w:val="fr-FR"/>
        </w:rPr>
        <w:t>Erga Omnes</w:t>
      </w:r>
      <w:r>
        <w:rPr>
          <w:lang w:val="fr-FR"/>
        </w:rPr>
        <w:t>, 2006, S. 203 – 237</w:t>
      </w:r>
    </w:p>
    <w:p w:rsidR="00D3076A" w:rsidRDefault="00D3076A">
      <w:pPr>
        <w:pStyle w:val="Textkrper-Zeileneinzug"/>
        <w:tabs>
          <w:tab w:val="left" w:pos="567"/>
          <w:tab w:val="left" w:pos="1134"/>
        </w:tabs>
        <w:spacing w:after="120"/>
        <w:ind w:firstLine="567"/>
        <w:rPr>
          <w:lang w:val="fr-FR"/>
        </w:rPr>
      </w:pPr>
    </w:p>
    <w:p w:rsidR="00D3076A" w:rsidRDefault="00D3076A">
      <w:pPr>
        <w:pStyle w:val="Textkrper-Zeileneinzug"/>
        <w:tabs>
          <w:tab w:val="left" w:pos="567"/>
          <w:tab w:val="left" w:pos="1134"/>
        </w:tabs>
        <w:spacing w:after="120"/>
        <w:ind w:firstLine="567"/>
        <w:rPr>
          <w:lang w:val="en-GB"/>
        </w:rPr>
      </w:pPr>
      <w:r>
        <w:rPr>
          <w:lang w:val="en-GB"/>
        </w:rPr>
        <w:t>50)</w:t>
      </w:r>
      <w:r>
        <w:rPr>
          <w:lang w:val="en-GB"/>
        </w:rPr>
        <w:tab/>
        <w:t>Continuous Controversies in the Debate on the European Constitution, in: Liebert, Ulrike/Falke, Josef/Maurer, Andreas (eds.), Postnational Constitutionalisation in the New Europe, 2006 (kürzere englische Fassung von Nr. 48), S. 65 – 82</w:t>
      </w:r>
    </w:p>
    <w:p w:rsidR="00D3076A" w:rsidRDefault="00D3076A">
      <w:pPr>
        <w:pStyle w:val="Textkrper-Zeileneinzug"/>
        <w:tabs>
          <w:tab w:val="left" w:pos="567"/>
          <w:tab w:val="left" w:pos="1134"/>
        </w:tabs>
        <w:spacing w:after="120"/>
        <w:ind w:firstLine="567"/>
        <w:rPr>
          <w:lang w:val="en-GB"/>
        </w:rPr>
      </w:pPr>
    </w:p>
    <w:p w:rsidR="00D3076A" w:rsidRDefault="00D3076A">
      <w:pPr>
        <w:pStyle w:val="Textkrper-Zeileneinzug"/>
        <w:tabs>
          <w:tab w:val="left" w:pos="567"/>
          <w:tab w:val="left" w:pos="1134"/>
        </w:tabs>
        <w:spacing w:after="120"/>
        <w:ind w:firstLine="567"/>
        <w:rPr>
          <w:lang w:val="en-GB"/>
        </w:rPr>
      </w:pPr>
      <w:r>
        <w:rPr>
          <w:lang w:val="en-US"/>
        </w:rPr>
        <w:t>51)</w:t>
      </w:r>
      <w:r>
        <w:rPr>
          <w:lang w:val="en-US"/>
        </w:rPr>
        <w:tab/>
        <w:t>The EU Accession of Cyprus and the Fate of the Annan Plan – Concluding R</w:t>
      </w:r>
      <w:r>
        <w:rPr>
          <w:lang w:val="en-US"/>
        </w:rPr>
        <w:t>e</w:t>
      </w:r>
      <w:r>
        <w:rPr>
          <w:lang w:val="en-US"/>
        </w:rPr>
        <w:t xml:space="preserve">marks, in: Giegerich, Thomas (ed.), </w:t>
      </w:r>
      <w:r>
        <w:rPr>
          <w:lang w:val="en-GB"/>
        </w:rPr>
        <w:t>The EU Accession of Cyprus – Key to the Political and Legal Solution of an ”Insoluble” Ethnic Conflict?, 2006,</w:t>
      </w:r>
      <w:r>
        <w:rPr>
          <w:lang w:val="en-US"/>
        </w:rPr>
        <w:t xml:space="preserve"> S. 253 – 280</w:t>
      </w:r>
    </w:p>
    <w:p w:rsidR="00D3076A" w:rsidRDefault="00D3076A">
      <w:pPr>
        <w:pStyle w:val="Textkrper-Zeileneinzug"/>
        <w:tabs>
          <w:tab w:val="left" w:pos="567"/>
          <w:tab w:val="left" w:pos="1134"/>
        </w:tabs>
        <w:spacing w:after="120"/>
        <w:ind w:firstLine="567"/>
        <w:rPr>
          <w:lang w:val="en-GB"/>
        </w:rPr>
      </w:pPr>
    </w:p>
    <w:p w:rsidR="00D3076A" w:rsidRDefault="00D3076A">
      <w:pPr>
        <w:pStyle w:val="Textkrper-Zeileneinzug"/>
        <w:tabs>
          <w:tab w:val="left" w:pos="567"/>
          <w:tab w:val="left" w:pos="1134"/>
        </w:tabs>
        <w:spacing w:after="120"/>
        <w:ind w:firstLine="567"/>
        <w:rPr>
          <w:lang w:val="en-GB"/>
        </w:rPr>
      </w:pPr>
      <w:r>
        <w:rPr>
          <w:lang w:val="en-GB"/>
        </w:rPr>
        <w:t>52)</w:t>
      </w:r>
      <w:r>
        <w:rPr>
          <w:lang w:val="en-GB"/>
        </w:rPr>
        <w:tab/>
        <w:t xml:space="preserve">Introductory Remarks, in: </w:t>
      </w:r>
      <w:r>
        <w:rPr>
          <w:lang w:val="en-US"/>
        </w:rPr>
        <w:t xml:space="preserve">Giegerich, Thomas (ed.), </w:t>
      </w:r>
      <w:r>
        <w:rPr>
          <w:lang w:val="en-GB"/>
        </w:rPr>
        <w:t>The EU Accession of Cyprus – Key to the Political and Legal Solution of an ”Insoluble” Ethnic Conflict?, 2006,</w:t>
      </w:r>
      <w:r>
        <w:rPr>
          <w:lang w:val="en-US"/>
        </w:rPr>
        <w:t xml:space="preserve"> S. 9 – 12</w:t>
      </w:r>
    </w:p>
    <w:p w:rsidR="00D3076A" w:rsidRDefault="00D3076A">
      <w:pPr>
        <w:pStyle w:val="Textkrper-Zeileneinzug"/>
        <w:tabs>
          <w:tab w:val="left" w:pos="567"/>
          <w:tab w:val="left" w:pos="1134"/>
        </w:tabs>
        <w:spacing w:after="120"/>
        <w:ind w:firstLine="567"/>
        <w:rPr>
          <w:lang w:val="en-GB"/>
        </w:rPr>
      </w:pPr>
    </w:p>
    <w:p w:rsidR="00D3076A" w:rsidRDefault="00D3076A">
      <w:pPr>
        <w:tabs>
          <w:tab w:val="left" w:pos="567"/>
          <w:tab w:val="left" w:pos="1134"/>
        </w:tabs>
        <w:spacing w:after="120"/>
        <w:jc w:val="both"/>
        <w:rPr>
          <w:sz w:val="24"/>
          <w:lang w:val="en-US"/>
        </w:rPr>
      </w:pPr>
      <w:r>
        <w:rPr>
          <w:sz w:val="24"/>
          <w:lang w:val="en-US"/>
        </w:rPr>
        <w:tab/>
        <w:t>53)</w:t>
      </w:r>
      <w:r>
        <w:rPr>
          <w:sz w:val="24"/>
          <w:lang w:val="en-US"/>
        </w:rPr>
        <w:tab/>
        <w:t>The impact of the USA on regime formation and implementation in: Winter, Gerd (ed.), Multilateral Governance of Global Environmental Change. Perspectives from Science, Sociology and the Law, Cambridge University Press 2006, S. 275 – 304</w:t>
      </w:r>
    </w:p>
    <w:p w:rsidR="00D3076A" w:rsidRDefault="00D3076A">
      <w:pPr>
        <w:pStyle w:val="Textkrper-Zeileneinzug"/>
        <w:tabs>
          <w:tab w:val="left" w:pos="567"/>
          <w:tab w:val="left" w:pos="1134"/>
        </w:tabs>
        <w:spacing w:after="120"/>
        <w:ind w:firstLine="567"/>
        <w:rPr>
          <w:lang w:val="en-US"/>
        </w:rPr>
      </w:pPr>
    </w:p>
    <w:p w:rsidR="00CA684A" w:rsidRDefault="00CA684A">
      <w:pPr>
        <w:pStyle w:val="Textkrper-Zeileneinzug"/>
        <w:tabs>
          <w:tab w:val="left" w:pos="567"/>
          <w:tab w:val="left" w:pos="1134"/>
        </w:tabs>
        <w:spacing w:after="120"/>
        <w:ind w:firstLine="567"/>
        <w:rPr>
          <w:lang w:val="en-GB"/>
        </w:rPr>
      </w:pPr>
      <w:r w:rsidRPr="00CA684A">
        <w:rPr>
          <w:lang w:val="en-GB"/>
        </w:rPr>
        <w:t>54)</w:t>
      </w:r>
      <w:r w:rsidRPr="00CA684A">
        <w:rPr>
          <w:lang w:val="en-GB"/>
        </w:rPr>
        <w:tab/>
        <w:t xml:space="preserve">„A Fork in the Road“ – Constitutional Challenges, Chances and </w:t>
      </w:r>
      <w:r w:rsidRPr="00CA684A">
        <w:rPr>
          <w:i/>
          <w:lang w:val="en-GB"/>
        </w:rPr>
        <w:t>Lacunae</w:t>
      </w:r>
      <w:r w:rsidRPr="00CA684A">
        <w:rPr>
          <w:lang w:val="en-GB"/>
        </w:rPr>
        <w:t xml:space="preserve"> of UN Reform</w:t>
      </w:r>
      <w:r>
        <w:rPr>
          <w:lang w:val="en-GB"/>
        </w:rPr>
        <w:t>, German Yearbook of International Law Vol. 48 (2005), S. 29 – 76</w:t>
      </w:r>
    </w:p>
    <w:p w:rsidR="00417391" w:rsidRDefault="00417391">
      <w:pPr>
        <w:pStyle w:val="Textkrper-Zeileneinzug"/>
        <w:tabs>
          <w:tab w:val="left" w:pos="567"/>
          <w:tab w:val="left" w:pos="1134"/>
        </w:tabs>
        <w:spacing w:after="120"/>
        <w:ind w:firstLine="567"/>
        <w:rPr>
          <w:lang w:val="en-GB"/>
        </w:rPr>
      </w:pPr>
    </w:p>
    <w:p w:rsidR="00417391" w:rsidRDefault="00417391" w:rsidP="00417391">
      <w:pPr>
        <w:pStyle w:val="Fuzeile"/>
        <w:tabs>
          <w:tab w:val="clear" w:pos="4536"/>
          <w:tab w:val="clear" w:pos="9072"/>
          <w:tab w:val="left" w:pos="567"/>
          <w:tab w:val="left" w:pos="1134"/>
        </w:tabs>
        <w:rPr>
          <w:sz w:val="24"/>
        </w:rPr>
      </w:pPr>
      <w:r w:rsidRPr="00A42ECD">
        <w:rPr>
          <w:sz w:val="24"/>
          <w:lang w:val="en-US"/>
        </w:rPr>
        <w:tab/>
      </w:r>
      <w:r>
        <w:rPr>
          <w:sz w:val="24"/>
        </w:rPr>
        <w:t>55)</w:t>
      </w:r>
      <w:r>
        <w:rPr>
          <w:sz w:val="24"/>
        </w:rPr>
        <w:tab/>
        <w:t>Unionsbürgerschaft, politische Rechte, in: Schulze, Reiner/Zuleeg, Manfred (Hrsg.), Europarecht – Handbuch für die deutsche Rechtspraxis, 2006, S. 289 – 321</w:t>
      </w:r>
    </w:p>
    <w:p w:rsidR="00417391" w:rsidRPr="00417391" w:rsidRDefault="00417391">
      <w:pPr>
        <w:pStyle w:val="Textkrper-Zeileneinzug"/>
        <w:tabs>
          <w:tab w:val="left" w:pos="567"/>
          <w:tab w:val="left" w:pos="1134"/>
        </w:tabs>
        <w:spacing w:after="120"/>
        <w:ind w:firstLine="567"/>
      </w:pPr>
    </w:p>
    <w:p w:rsidR="009B3EB1" w:rsidRDefault="009B3EB1" w:rsidP="009B3EB1">
      <w:pPr>
        <w:pStyle w:val="Textkrper2"/>
        <w:tabs>
          <w:tab w:val="left" w:pos="567"/>
          <w:tab w:val="left" w:pos="1134"/>
        </w:tabs>
        <w:spacing w:after="120"/>
      </w:pPr>
      <w:r>
        <w:tab/>
        <w:t>56)</w:t>
      </w:r>
      <w:r>
        <w:tab/>
        <w:t>Wirkung und Rang der EMRK in den Rechtsordnungen der Mitgliedstaaten, in: Grote, Rainer/Marauhn, Thilo (Hrsg.), EMRK/GG: Konkordanzkommentar zum europäischen und deutschen Grundrechtsschutz, Mohr Siebeck 2006, S. 61 – 96</w:t>
      </w:r>
    </w:p>
    <w:p w:rsidR="00D3076A" w:rsidRDefault="00D3076A">
      <w:pPr>
        <w:pStyle w:val="Textkrper-Zeileneinzug"/>
        <w:tabs>
          <w:tab w:val="left" w:pos="567"/>
          <w:tab w:val="left" w:pos="1134"/>
        </w:tabs>
        <w:spacing w:after="120"/>
        <w:ind w:firstLine="567"/>
      </w:pPr>
    </w:p>
    <w:p w:rsidR="006A421B" w:rsidRDefault="009B3EB1" w:rsidP="009B3EB1">
      <w:pPr>
        <w:pStyle w:val="Textkrper2"/>
        <w:tabs>
          <w:tab w:val="left" w:pos="567"/>
          <w:tab w:val="left" w:pos="1134"/>
        </w:tabs>
        <w:spacing w:after="120"/>
        <w:jc w:val="left"/>
      </w:pPr>
      <w:r>
        <w:tab/>
        <w:t>57)</w:t>
      </w:r>
      <w:r>
        <w:tab/>
        <w:t>Freizügigkeit, in: Grote, Rainer/Marauhn, Thilo (Hrsg.), EMRK/GG: Konko</w:t>
      </w:r>
      <w:r>
        <w:t>r</w:t>
      </w:r>
      <w:r>
        <w:t>danzkommentar zum europäischen und deutschen Grundrechtsschutz, Mohr Siebeck 2006, S. 1420 – 1486</w:t>
      </w:r>
    </w:p>
    <w:p w:rsidR="00285160" w:rsidRDefault="00285160" w:rsidP="009B3EB1">
      <w:pPr>
        <w:pStyle w:val="Textkrper2"/>
        <w:tabs>
          <w:tab w:val="left" w:pos="567"/>
          <w:tab w:val="left" w:pos="1134"/>
        </w:tabs>
        <w:spacing w:after="120"/>
        <w:jc w:val="left"/>
      </w:pPr>
    </w:p>
    <w:p w:rsidR="006A421B" w:rsidRDefault="006A421B" w:rsidP="006A421B">
      <w:pPr>
        <w:pStyle w:val="Textkrper-Zeileneinzug"/>
        <w:tabs>
          <w:tab w:val="left" w:pos="567"/>
        </w:tabs>
        <w:spacing w:after="120"/>
        <w:ind w:firstLine="567"/>
      </w:pPr>
      <w:r>
        <w:t>58)</w:t>
      </w:r>
      <w:r>
        <w:tab/>
        <w:t>Verschmelzung der drei Säulen der EU durch europäisches Richterrecht?, Zei</w:t>
      </w:r>
      <w:r>
        <w:t>t</w:t>
      </w:r>
      <w:r>
        <w:t>schrift für ausländisches öffentliches Recht und Völkerrecht Bd. 67/ 2 (2007), S. 351 – 383</w:t>
      </w:r>
    </w:p>
    <w:p w:rsidR="00C70A7E" w:rsidRDefault="00C70A7E" w:rsidP="006A421B">
      <w:pPr>
        <w:pStyle w:val="Textkrper-Zeileneinzug"/>
        <w:tabs>
          <w:tab w:val="left" w:pos="567"/>
        </w:tabs>
        <w:spacing w:after="120"/>
        <w:ind w:firstLine="567"/>
      </w:pPr>
    </w:p>
    <w:p w:rsidR="00C70A7E" w:rsidRDefault="00C70A7E" w:rsidP="00C70A7E">
      <w:pPr>
        <w:pStyle w:val="Textkrper-Zeileneinzug"/>
        <w:tabs>
          <w:tab w:val="left" w:pos="567"/>
        </w:tabs>
        <w:spacing w:after="120"/>
        <w:ind w:firstLine="567"/>
      </w:pPr>
      <w:r>
        <w:t>59</w:t>
      </w:r>
      <w:r w:rsidRPr="009279C3">
        <w:t>)</w:t>
      </w:r>
      <w:r w:rsidRPr="009279C3">
        <w:tab/>
        <w:t>Völkerrechtliche Grundlagen</w:t>
      </w:r>
      <w:r>
        <w:t xml:space="preserve"> des europäischen und deutschen Antidiskrimini</w:t>
      </w:r>
      <w:r>
        <w:t>e</w:t>
      </w:r>
      <w:r>
        <w:t>rungsrechts</w:t>
      </w:r>
      <w:r w:rsidRPr="009279C3">
        <w:t>, in: Ursula Rust/Josef Falke (Hrsg.),</w:t>
      </w:r>
      <w:r>
        <w:t xml:space="preserve"> AGG: Allgemeines Gleichbehandlungsgesetz mit weiterführenden Vorsch</w:t>
      </w:r>
      <w:r w:rsidR="008A35E5">
        <w:t xml:space="preserve">riften – Kommentar, </w:t>
      </w:r>
      <w:r>
        <w:t>Erich Schmidt-Verlag 2007, S. 33 – 60, 71 – 87</w:t>
      </w:r>
    </w:p>
    <w:p w:rsidR="006A421B" w:rsidRDefault="006A421B" w:rsidP="009B3EB1">
      <w:pPr>
        <w:pStyle w:val="Textkrper2"/>
        <w:tabs>
          <w:tab w:val="left" w:pos="567"/>
          <w:tab w:val="left" w:pos="1134"/>
        </w:tabs>
        <w:spacing w:after="120"/>
        <w:jc w:val="left"/>
      </w:pPr>
    </w:p>
    <w:p w:rsidR="00AC4106" w:rsidRDefault="00AC4106" w:rsidP="009B3EB1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  <w:r>
        <w:tab/>
        <w:t>60</w:t>
      </w:r>
      <w:r w:rsidRPr="009B0AA3">
        <w:t>)</w:t>
      </w:r>
      <w:r w:rsidRPr="009B0AA3">
        <w:tab/>
      </w:r>
      <w:r w:rsidRPr="009B0AA3">
        <w:rPr>
          <w:szCs w:val="24"/>
        </w:rPr>
        <w:t>Sicherheit auf See: Maßnahmen gegen die Verschiffung von Massenvernic</w:t>
      </w:r>
      <w:r w:rsidRPr="009B0AA3">
        <w:rPr>
          <w:szCs w:val="24"/>
        </w:rPr>
        <w:t>h</w:t>
      </w:r>
      <w:r w:rsidRPr="009B0AA3">
        <w:rPr>
          <w:szCs w:val="24"/>
        </w:rPr>
        <w:t>tungswaffen an internationale Terroristen nach Völkerrecht und deutschem Recht</w:t>
      </w:r>
      <w:r>
        <w:rPr>
          <w:szCs w:val="24"/>
        </w:rPr>
        <w:t>, in: Andreas Zimmermann/Christian Tams (Hrsg.), Seesicherheit vor neuen Herausforderungen. Workshop des Walther-Schücking-Instituts für Internationales Recht der Universität Kiel, 5./6. Juli 2007 (Lorenz-von-Stein-Institut für Verwaltungswissenschaften an der Christian-Albrechts-Universität zu Kiel, Arbeitspapier 84, Kiel 2008), S. 5 – 33</w:t>
      </w:r>
    </w:p>
    <w:p w:rsidR="00811F7F" w:rsidRDefault="00811F7F" w:rsidP="009B3EB1">
      <w:pPr>
        <w:pStyle w:val="Textkrper2"/>
        <w:tabs>
          <w:tab w:val="left" w:pos="567"/>
          <w:tab w:val="left" w:pos="1134"/>
        </w:tabs>
        <w:spacing w:after="120"/>
        <w:jc w:val="left"/>
      </w:pPr>
    </w:p>
    <w:p w:rsidR="00811F7F" w:rsidRPr="00D75CC1" w:rsidRDefault="00811F7F" w:rsidP="00811F7F">
      <w:pPr>
        <w:pStyle w:val="Fuzeile"/>
        <w:tabs>
          <w:tab w:val="clear" w:pos="4536"/>
          <w:tab w:val="clear" w:pos="9072"/>
          <w:tab w:val="left" w:pos="1134"/>
        </w:tabs>
        <w:spacing w:after="120"/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61</w:t>
      </w:r>
      <w:r w:rsidRPr="00217BF3">
        <w:rPr>
          <w:sz w:val="24"/>
          <w:szCs w:val="24"/>
          <w:lang w:val="en-GB"/>
        </w:rPr>
        <w:t>)</w:t>
      </w:r>
      <w:r w:rsidRPr="00217BF3">
        <w:rPr>
          <w:sz w:val="24"/>
          <w:szCs w:val="24"/>
          <w:lang w:val="en-GB"/>
        </w:rPr>
        <w:tab/>
      </w:r>
      <w:r w:rsidRPr="00217BF3">
        <w:rPr>
          <w:sz w:val="24"/>
          <w:szCs w:val="24"/>
          <w:lang w:val="en-US"/>
        </w:rPr>
        <w:t xml:space="preserve">Injecting Fundamental Rights into Private Law Relations: The </w:t>
      </w:r>
      <w:smartTag w:uri="urn:schemas-microsoft-com:office:smarttags" w:element="country-region">
        <w:smartTag w:uri="urn:schemas-microsoft-com:office:smarttags" w:element="place">
          <w:r w:rsidRPr="00217BF3">
            <w:rPr>
              <w:sz w:val="24"/>
              <w:szCs w:val="24"/>
              <w:lang w:val="en-US"/>
            </w:rPr>
            <w:t>U.S.</w:t>
          </w:r>
        </w:smartTag>
      </w:smartTag>
      <w:r w:rsidRPr="00217BF3">
        <w:rPr>
          <w:sz w:val="24"/>
          <w:szCs w:val="24"/>
          <w:lang w:val="en-US"/>
        </w:rPr>
        <w:t xml:space="preserve"> Approach from a Comparative Perspective</w:t>
      </w:r>
      <w:r>
        <w:rPr>
          <w:sz w:val="24"/>
          <w:szCs w:val="24"/>
          <w:lang w:val="en-US"/>
        </w:rPr>
        <w:t>, in: Andreas Hoyer/Hans Hattenhauer/Rudolf Meyer-Pritzl/Werner Schubert (Hrsg.), Gedächtnisschrift für Jörn Eckert, Nomos 2008, S. 251 – 268</w:t>
      </w:r>
    </w:p>
    <w:p w:rsidR="00811F7F" w:rsidRDefault="00811F7F" w:rsidP="00811F7F">
      <w:pPr>
        <w:pStyle w:val="Textkrper2"/>
        <w:tabs>
          <w:tab w:val="left" w:pos="567"/>
          <w:tab w:val="left" w:pos="1134"/>
        </w:tabs>
        <w:spacing w:after="120"/>
        <w:rPr>
          <w:lang w:val="en-US"/>
        </w:rPr>
      </w:pPr>
    </w:p>
    <w:p w:rsidR="00811F7F" w:rsidRPr="001A027E" w:rsidRDefault="00811F7F" w:rsidP="00811F7F">
      <w:pPr>
        <w:tabs>
          <w:tab w:val="left" w:pos="567"/>
          <w:tab w:val="left" w:pos="1134"/>
        </w:tabs>
        <w:spacing w:after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62</w:t>
      </w:r>
      <w:r w:rsidRPr="001A027E">
        <w:rPr>
          <w:sz w:val="24"/>
          <w:szCs w:val="24"/>
          <w:lang w:val="en-GB"/>
        </w:rPr>
        <w:t>)</w:t>
      </w:r>
      <w:r w:rsidRPr="001A027E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„Typisch deutsch“ – Is There a</w:t>
      </w:r>
      <w:r w:rsidRPr="001A027E">
        <w:rPr>
          <w:sz w:val="24"/>
          <w:szCs w:val="24"/>
          <w:lang w:val="en-GB"/>
        </w:rPr>
        <w:t xml:space="preserve"> German Approach to </w:t>
      </w:r>
      <w:r>
        <w:rPr>
          <w:sz w:val="24"/>
          <w:szCs w:val="24"/>
          <w:lang w:val="en-GB"/>
        </w:rPr>
        <w:t>International Law? – Intr</w:t>
      </w:r>
      <w:r>
        <w:rPr>
          <w:sz w:val="24"/>
          <w:szCs w:val="24"/>
          <w:lang w:val="en-GB"/>
        </w:rPr>
        <w:t>o</w:t>
      </w:r>
      <w:r>
        <w:rPr>
          <w:sz w:val="24"/>
          <w:szCs w:val="24"/>
          <w:lang w:val="en-GB"/>
        </w:rPr>
        <w:t>duction, in: German Yearbook of International Law, Vol. 50 (2007), S. 15 – 27 (zusammen mit Andreas Zimmermann)</w:t>
      </w:r>
    </w:p>
    <w:p w:rsidR="00811F7F" w:rsidRDefault="00811F7F" w:rsidP="00811F7F">
      <w:pPr>
        <w:pStyle w:val="Textkrper2"/>
        <w:tabs>
          <w:tab w:val="left" w:pos="567"/>
          <w:tab w:val="left" w:pos="1134"/>
        </w:tabs>
        <w:spacing w:after="120"/>
        <w:rPr>
          <w:lang w:val="en-GB"/>
        </w:rPr>
      </w:pPr>
    </w:p>
    <w:p w:rsidR="00811F7F" w:rsidRDefault="00811F7F" w:rsidP="005B49A1">
      <w:pPr>
        <w:pStyle w:val="Fuzeile"/>
        <w:tabs>
          <w:tab w:val="clear" w:pos="4536"/>
          <w:tab w:val="clear" w:pos="9072"/>
          <w:tab w:val="left" w:pos="567"/>
          <w:tab w:val="left" w:pos="1134"/>
        </w:tabs>
        <w:spacing w:after="120"/>
        <w:rPr>
          <w:sz w:val="24"/>
          <w:szCs w:val="24"/>
        </w:rPr>
      </w:pPr>
      <w:r w:rsidRPr="00811F7F">
        <w:rPr>
          <w:sz w:val="24"/>
          <w:szCs w:val="24"/>
          <w:lang w:val="en-GB"/>
        </w:rPr>
        <w:tab/>
      </w:r>
      <w:r>
        <w:rPr>
          <w:sz w:val="24"/>
          <w:szCs w:val="24"/>
        </w:rPr>
        <w:t>63</w:t>
      </w:r>
      <w:r w:rsidRPr="00FD2936">
        <w:rPr>
          <w:sz w:val="24"/>
          <w:szCs w:val="24"/>
        </w:rPr>
        <w:t>)</w:t>
      </w:r>
      <w:r w:rsidRPr="00FD2936">
        <w:rPr>
          <w:sz w:val="24"/>
          <w:szCs w:val="24"/>
        </w:rPr>
        <w:tab/>
        <w:t>Steuern Völker- und Europarecht die Globalisierung „im Geiste der Brüderlic</w:t>
      </w:r>
      <w:r w:rsidRPr="00FD2936">
        <w:rPr>
          <w:sz w:val="24"/>
          <w:szCs w:val="24"/>
        </w:rPr>
        <w:t>h</w:t>
      </w:r>
      <w:r w:rsidRPr="00FD2936">
        <w:rPr>
          <w:sz w:val="24"/>
          <w:szCs w:val="24"/>
        </w:rPr>
        <w:t>keit“? – Einführender Überblick</w:t>
      </w:r>
      <w:r>
        <w:rPr>
          <w:sz w:val="24"/>
          <w:szCs w:val="24"/>
        </w:rPr>
        <w:t>, in: Thomas Giegerich/Andreas Zimmermann (Hrsg.), Wir</w:t>
      </w:r>
      <w:r>
        <w:rPr>
          <w:sz w:val="24"/>
          <w:szCs w:val="24"/>
        </w:rPr>
        <w:t>t</w:t>
      </w:r>
      <w:r>
        <w:rPr>
          <w:sz w:val="24"/>
          <w:szCs w:val="24"/>
        </w:rPr>
        <w:t>schaftliche, soziale und kulturelle Rechte im globalen Zeitalter (Duncker &amp; Humblot 2008), S. 7 – 34</w:t>
      </w:r>
    </w:p>
    <w:p w:rsidR="005B49A1" w:rsidRPr="00FD2936" w:rsidRDefault="005B49A1" w:rsidP="005B49A1">
      <w:pPr>
        <w:pStyle w:val="Fuzeile"/>
        <w:tabs>
          <w:tab w:val="clear" w:pos="4536"/>
          <w:tab w:val="clear" w:pos="9072"/>
          <w:tab w:val="left" w:pos="567"/>
          <w:tab w:val="left" w:pos="1134"/>
        </w:tabs>
        <w:spacing w:after="120"/>
        <w:rPr>
          <w:sz w:val="24"/>
          <w:szCs w:val="24"/>
        </w:rPr>
      </w:pPr>
    </w:p>
    <w:p w:rsidR="005B49A1" w:rsidRPr="005B49A1" w:rsidRDefault="005B49A1" w:rsidP="005B49A1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 w:rsidRPr="005B49A1">
        <w:rPr>
          <w:sz w:val="24"/>
          <w:szCs w:val="24"/>
        </w:rPr>
        <w:t>64)</w:t>
      </w:r>
      <w:r w:rsidRPr="005B49A1">
        <w:rPr>
          <w:sz w:val="24"/>
          <w:szCs w:val="24"/>
        </w:rPr>
        <w:tab/>
        <w:t>Another Incoming Tide? Tort Liability in Public International Law, in: Aurelia Colombi Ciacchi u.a. (Hrsg.), Haftungsrecht im dritten Millennium: Liber Amicorum für Gert Brüggemeier (Nomos 2009), S. 577 – 606</w:t>
      </w:r>
    </w:p>
    <w:p w:rsidR="00811F7F" w:rsidRDefault="00811F7F" w:rsidP="005B49A1">
      <w:pPr>
        <w:pStyle w:val="Textkrper2"/>
        <w:tabs>
          <w:tab w:val="left" w:pos="567"/>
          <w:tab w:val="left" w:pos="1134"/>
        </w:tabs>
        <w:spacing w:after="120"/>
        <w:jc w:val="left"/>
      </w:pPr>
    </w:p>
    <w:p w:rsidR="002C78BD" w:rsidRDefault="002C78BD" w:rsidP="009B3EB1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GB"/>
        </w:rPr>
      </w:pPr>
      <w:r w:rsidRPr="00A42ECD">
        <w:rPr>
          <w:szCs w:val="24"/>
        </w:rPr>
        <w:tab/>
      </w:r>
      <w:r>
        <w:rPr>
          <w:szCs w:val="24"/>
          <w:lang w:val="en-GB"/>
        </w:rPr>
        <w:t>65</w:t>
      </w:r>
      <w:r w:rsidRPr="002B79EF">
        <w:rPr>
          <w:szCs w:val="24"/>
          <w:lang w:val="en-GB"/>
        </w:rPr>
        <w:t>)</w:t>
      </w:r>
      <w:r w:rsidRPr="002B79EF">
        <w:rPr>
          <w:szCs w:val="24"/>
          <w:lang w:val="en-GB"/>
        </w:rPr>
        <w:tab/>
        <w:t xml:space="preserve">Prevention and Containment of War – Two Fateful Missions Unaccomplished, in: </w:t>
      </w:r>
      <w:r>
        <w:rPr>
          <w:szCs w:val="24"/>
          <w:lang w:val="en-GB"/>
        </w:rPr>
        <w:t>Thomas Giegerich (ed.), A Wiser Century? – Judicial Dispute Settlement, Disarmament and the Laws of War 100 Years after the Second Hague Peace Conference (Duncker &amp; Humblot 2009), S. 11 – 52</w:t>
      </w:r>
    </w:p>
    <w:p w:rsidR="002C78BD" w:rsidRDefault="002C78BD" w:rsidP="009B3EB1">
      <w:pPr>
        <w:pStyle w:val="Textkrper2"/>
        <w:tabs>
          <w:tab w:val="left" w:pos="567"/>
          <w:tab w:val="left" w:pos="1134"/>
        </w:tabs>
        <w:spacing w:after="120"/>
        <w:jc w:val="left"/>
        <w:rPr>
          <w:lang w:val="en-GB"/>
        </w:rPr>
      </w:pPr>
    </w:p>
    <w:p w:rsidR="005729C9" w:rsidRPr="005729C9" w:rsidRDefault="005729C9" w:rsidP="009B3EB1">
      <w:pPr>
        <w:pStyle w:val="Textkrper2"/>
        <w:tabs>
          <w:tab w:val="left" w:pos="567"/>
          <w:tab w:val="left" w:pos="1134"/>
        </w:tabs>
        <w:spacing w:after="120"/>
        <w:jc w:val="left"/>
      </w:pPr>
      <w:r>
        <w:rPr>
          <w:lang w:val="en-GB"/>
        </w:rPr>
        <w:tab/>
      </w:r>
      <w:r w:rsidRPr="005729C9">
        <w:t>66)</w:t>
      </w:r>
      <w:r w:rsidRPr="005729C9">
        <w:tab/>
      </w:r>
      <w:r>
        <w:rPr>
          <w:szCs w:val="24"/>
        </w:rPr>
        <w:t>Die Verfassungsgerichtsbarkeit in Deutschland, den USA und Europa als Trägerin einer gemeinsamen Rechtswahrungsaufgabe, in: Marten Breuer u.a. (Hrsg.), Im Dienste des Menschen: Recht, Staat und Staatengemeinschaft. Forschungskolloquium anlässlich der Ve</w:t>
      </w:r>
      <w:r>
        <w:rPr>
          <w:szCs w:val="24"/>
        </w:rPr>
        <w:t>r</w:t>
      </w:r>
      <w:r>
        <w:rPr>
          <w:szCs w:val="24"/>
        </w:rPr>
        <w:t>abschiedung von Eckart Klein (Duncker &amp; Humblot 2009), S. 95 – 150</w:t>
      </w:r>
    </w:p>
    <w:p w:rsidR="002C78BD" w:rsidRDefault="002C78BD" w:rsidP="009B3EB1">
      <w:pPr>
        <w:pStyle w:val="Textkrper2"/>
        <w:tabs>
          <w:tab w:val="left" w:pos="567"/>
          <w:tab w:val="left" w:pos="1134"/>
        </w:tabs>
        <w:spacing w:after="120"/>
        <w:jc w:val="left"/>
      </w:pPr>
    </w:p>
    <w:p w:rsidR="00721C74" w:rsidRDefault="00721C74" w:rsidP="00721C74">
      <w:pPr>
        <w:pStyle w:val="Fuzeile"/>
        <w:tabs>
          <w:tab w:val="clear" w:pos="4536"/>
          <w:tab w:val="clear" w:pos="9072"/>
          <w:tab w:val="left" w:pos="567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ab/>
        <w:t>67)</w:t>
      </w:r>
      <w:r>
        <w:rPr>
          <w:sz w:val="24"/>
          <w:szCs w:val="24"/>
        </w:rPr>
        <w:tab/>
        <w:t>Wettbewerb von Rechtsordnungen, in: Gemeinwohl durch Wettbewerb?, Verö</w:t>
      </w:r>
      <w:r>
        <w:rPr>
          <w:sz w:val="24"/>
          <w:szCs w:val="24"/>
        </w:rPr>
        <w:t>f</w:t>
      </w:r>
      <w:r>
        <w:rPr>
          <w:sz w:val="24"/>
          <w:szCs w:val="24"/>
        </w:rPr>
        <w:t>fentlichungen der Vereinigung der Deutschen Staatsrechtslehrer Band 69 (Walter de Gruyter 2010), S. 57 – 105</w:t>
      </w:r>
    </w:p>
    <w:p w:rsidR="00721C74" w:rsidRDefault="00721C74" w:rsidP="00721C74">
      <w:pPr>
        <w:pStyle w:val="Textkrper2"/>
        <w:tabs>
          <w:tab w:val="left" w:pos="567"/>
          <w:tab w:val="left" w:pos="1134"/>
        </w:tabs>
        <w:spacing w:after="120"/>
      </w:pPr>
    </w:p>
    <w:p w:rsidR="00721C74" w:rsidRDefault="00721C74" w:rsidP="00721C74">
      <w:pPr>
        <w:pStyle w:val="Textkrper-Zeileneinzug"/>
        <w:tabs>
          <w:tab w:val="left" w:pos="1134"/>
        </w:tabs>
        <w:spacing w:after="120"/>
        <w:ind w:firstLine="567"/>
      </w:pPr>
      <w:r>
        <w:t>68)</w:t>
      </w:r>
      <w:r>
        <w:tab/>
        <w:t>Menschenrechtsüberkommen des Europarats, in: Detlef Merten/Hans-Jürgen P</w:t>
      </w:r>
      <w:r>
        <w:t>a</w:t>
      </w:r>
      <w:r>
        <w:t>pier (Hrsg.), Handbuch der Grundrechte in Deutschland und Europa, Band VI/1: Europäische Grundrechte I (C.F. Müller 2010), §148 (S. 509 – 567)</w:t>
      </w:r>
    </w:p>
    <w:p w:rsidR="00721C74" w:rsidRDefault="00721C74" w:rsidP="00721C74">
      <w:pPr>
        <w:pStyle w:val="Textkrper-Zeileneinzug"/>
        <w:tabs>
          <w:tab w:val="left" w:pos="1134"/>
        </w:tabs>
        <w:spacing w:after="120"/>
        <w:ind w:firstLine="567"/>
      </w:pPr>
    </w:p>
    <w:p w:rsidR="00721C74" w:rsidRDefault="00721C74" w:rsidP="00721C74">
      <w:pPr>
        <w:pStyle w:val="Textkrper-Zeileneinzug"/>
        <w:tabs>
          <w:tab w:val="left" w:pos="1134"/>
        </w:tabs>
        <w:spacing w:after="120"/>
        <w:ind w:firstLine="567"/>
      </w:pPr>
      <w:r>
        <w:t>69)</w:t>
      </w:r>
      <w:r>
        <w:tab/>
        <w:t>Menschenrechtsschutz im Rahmen der OSZE, ebd., §149 (S. 569 – 592)</w:t>
      </w:r>
    </w:p>
    <w:p w:rsidR="00721C74" w:rsidRDefault="00721C74" w:rsidP="00721C74">
      <w:pPr>
        <w:pStyle w:val="Textkrper2"/>
        <w:tabs>
          <w:tab w:val="left" w:pos="567"/>
          <w:tab w:val="left" w:pos="1134"/>
        </w:tabs>
        <w:spacing w:after="120"/>
      </w:pPr>
    </w:p>
    <w:p w:rsidR="00721C74" w:rsidRDefault="00721C74" w:rsidP="00721C74">
      <w:pPr>
        <w:pStyle w:val="Fuzeile"/>
        <w:tabs>
          <w:tab w:val="clear" w:pos="4536"/>
          <w:tab w:val="clear" w:pos="9072"/>
          <w:tab w:val="left" w:pos="567"/>
          <w:tab w:val="left" w:pos="1134"/>
        </w:tabs>
        <w:rPr>
          <w:sz w:val="24"/>
          <w:szCs w:val="24"/>
          <w:lang w:val="en-GB"/>
        </w:rPr>
      </w:pPr>
      <w:r w:rsidRPr="00721C74">
        <w:rPr>
          <w:sz w:val="24"/>
          <w:szCs w:val="24"/>
        </w:rPr>
        <w:tab/>
      </w:r>
      <w:r>
        <w:rPr>
          <w:sz w:val="24"/>
          <w:szCs w:val="24"/>
          <w:lang w:val="en-GB"/>
        </w:rPr>
        <w:t>70</w:t>
      </w:r>
      <w:r w:rsidRPr="006332B7">
        <w:rPr>
          <w:sz w:val="24"/>
          <w:szCs w:val="24"/>
          <w:lang w:val="en-GB"/>
        </w:rPr>
        <w:t>)</w:t>
      </w:r>
      <w:r w:rsidRPr="006332B7">
        <w:rPr>
          <w:sz w:val="24"/>
          <w:szCs w:val="24"/>
          <w:lang w:val="en-GB"/>
        </w:rPr>
        <w:tab/>
        <w:t>The Federal Constitutional Court’s Judgment on the Treaty of Lisbon – The Last Word (German) Wisdom Ever Has to Say on a United Europe?,</w:t>
      </w:r>
      <w:r>
        <w:rPr>
          <w:sz w:val="24"/>
          <w:szCs w:val="24"/>
          <w:lang w:val="en-GB"/>
        </w:rPr>
        <w:t xml:space="preserve"> German Yearbook of Intern</w:t>
      </w:r>
      <w:r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>tional Law Volume 52 (2009), S. 9 – 43</w:t>
      </w:r>
    </w:p>
    <w:p w:rsidR="005729C9" w:rsidRDefault="005729C9" w:rsidP="009B3EB1">
      <w:pPr>
        <w:pStyle w:val="Textkrper2"/>
        <w:tabs>
          <w:tab w:val="left" w:pos="567"/>
          <w:tab w:val="left" w:pos="1134"/>
        </w:tabs>
        <w:spacing w:after="120"/>
        <w:jc w:val="left"/>
        <w:rPr>
          <w:lang w:val="en-GB"/>
        </w:rPr>
      </w:pPr>
    </w:p>
    <w:p w:rsidR="009F43FC" w:rsidRDefault="009F43FC" w:rsidP="009F43FC">
      <w:pPr>
        <w:pStyle w:val="Textkrper2"/>
        <w:tabs>
          <w:tab w:val="left" w:pos="567"/>
          <w:tab w:val="left" w:pos="1134"/>
        </w:tabs>
        <w:spacing w:after="120"/>
        <w:rPr>
          <w:lang w:val="en-GB"/>
        </w:rPr>
      </w:pPr>
      <w:r>
        <w:rPr>
          <w:lang w:val="en-GB"/>
        </w:rPr>
        <w:tab/>
        <w:t>71)</w:t>
      </w:r>
      <w:r>
        <w:rPr>
          <w:lang w:val="en-GB"/>
        </w:rPr>
        <w:tab/>
        <w:t>Independence of the Judiciary – Conceptual Framework, Historical Development, Relation of Impartiality and Observations on Turkey, in: Yargının Bağısızlığı, Tarafsızlığı ve Etkililiği (Independence, Impartiality and Effectiveness of the Judiciary) (Türkiye Adalet Akademisi Yayınları Yayın 6 – Justice Academy of Turkey Publications No. 6 [2009]), S. 11 – 20 (türkische Übersetzung S. 21 – 30)</w:t>
      </w:r>
    </w:p>
    <w:p w:rsidR="009F43FC" w:rsidRDefault="009F43FC" w:rsidP="009F43FC">
      <w:pPr>
        <w:pStyle w:val="Textkrper2"/>
        <w:tabs>
          <w:tab w:val="left" w:pos="567"/>
          <w:tab w:val="left" w:pos="1134"/>
        </w:tabs>
        <w:spacing w:after="120"/>
        <w:rPr>
          <w:lang w:val="en-GB"/>
        </w:rPr>
      </w:pPr>
    </w:p>
    <w:p w:rsidR="009F43FC" w:rsidRDefault="009F43FC" w:rsidP="009F43FC">
      <w:pPr>
        <w:pStyle w:val="Textkrper2"/>
        <w:tabs>
          <w:tab w:val="left" w:pos="567"/>
          <w:tab w:val="left" w:pos="1134"/>
        </w:tabs>
        <w:spacing w:after="120"/>
      </w:pPr>
      <w:r>
        <w:rPr>
          <w:lang w:val="en-GB"/>
        </w:rPr>
        <w:tab/>
      </w:r>
      <w:r>
        <w:t>72)</w:t>
      </w:r>
      <w:r>
        <w:tab/>
      </w:r>
      <w:r>
        <w:rPr>
          <w:szCs w:val="24"/>
        </w:rPr>
        <w:t>Einführung: Weltfrieden durch Völkerrecht?, in: Thomas Giegerich/Alexander Proelß (Hrsg.), Krisenherde im Fokus des Völkerrechts – Trouble Spots in the Focus of Inte</w:t>
      </w:r>
      <w:r>
        <w:rPr>
          <w:szCs w:val="24"/>
        </w:rPr>
        <w:t>r</w:t>
      </w:r>
      <w:r>
        <w:rPr>
          <w:szCs w:val="24"/>
        </w:rPr>
        <w:t>national Law (Duncker &amp; Humblot 2010), S. 7 – 12</w:t>
      </w:r>
    </w:p>
    <w:p w:rsidR="009F43FC" w:rsidRDefault="009F43FC" w:rsidP="009F43FC">
      <w:pPr>
        <w:pStyle w:val="Textkrper2"/>
        <w:tabs>
          <w:tab w:val="left" w:pos="567"/>
          <w:tab w:val="left" w:pos="1134"/>
        </w:tabs>
        <w:spacing w:after="120"/>
      </w:pPr>
    </w:p>
    <w:p w:rsidR="009F43FC" w:rsidRDefault="009F43FC" w:rsidP="009F43FC">
      <w:pPr>
        <w:pStyle w:val="Textkrper2"/>
        <w:tabs>
          <w:tab w:val="left" w:pos="567"/>
          <w:tab w:val="left" w:pos="1134"/>
        </w:tabs>
        <w:spacing w:after="120"/>
        <w:rPr>
          <w:szCs w:val="24"/>
        </w:rPr>
      </w:pPr>
      <w:r>
        <w:tab/>
        <w:t>73)</w:t>
      </w:r>
      <w:r>
        <w:tab/>
      </w:r>
      <w:r>
        <w:rPr>
          <w:szCs w:val="24"/>
        </w:rPr>
        <w:t>Die Zähmung des Leviathan – Deutschlands unvollendeter Weg vom nationalen Machtstaat zum offenen und europäischen Verfassungsstaat, in: Thomas Giegerich (Hrsg.), Der „offene Verfassungsstaat“ des Grundgesetzes nach 60 Jahren – Anspruch und Wirklic</w:t>
      </w:r>
      <w:r>
        <w:rPr>
          <w:szCs w:val="24"/>
        </w:rPr>
        <w:t>h</w:t>
      </w:r>
      <w:r>
        <w:rPr>
          <w:szCs w:val="24"/>
        </w:rPr>
        <w:t>keit einer großen Errungenschaft (Duncker &amp; Humblot 2010), S. 13 – 34 (gekürzte Fassung in: Christiana Albertina Heft 71 [November 2010], S. 6 – 17)</w:t>
      </w:r>
    </w:p>
    <w:p w:rsidR="009F43FC" w:rsidRDefault="009F43FC" w:rsidP="009F43FC">
      <w:pPr>
        <w:pStyle w:val="Textkrper2"/>
        <w:tabs>
          <w:tab w:val="left" w:pos="567"/>
          <w:tab w:val="left" w:pos="1134"/>
        </w:tabs>
        <w:spacing w:after="120"/>
      </w:pPr>
    </w:p>
    <w:p w:rsidR="009F43FC" w:rsidRPr="009F43FC" w:rsidRDefault="009F43FC" w:rsidP="009F43FC">
      <w:pPr>
        <w:pStyle w:val="Textkrper2"/>
        <w:tabs>
          <w:tab w:val="left" w:pos="567"/>
          <w:tab w:val="left" w:pos="1134"/>
        </w:tabs>
        <w:spacing w:after="120"/>
        <w:rPr>
          <w:lang w:val="en-US"/>
        </w:rPr>
      </w:pPr>
      <w:r>
        <w:tab/>
        <w:t>74)</w:t>
      </w:r>
      <w:r>
        <w:tab/>
        <w:t>Unionsbürgerschaft, politische Rechte, in: Schulze, Reiner/Zuleeg, Man</w:t>
      </w:r>
      <w:r>
        <w:t>f</w:t>
      </w:r>
      <w:r>
        <w:t xml:space="preserve">red/Kadelbach, Stefan (Hrsg.), Europarecht – Handbuch für die deutsche Rechtspraxis, 2. </w:t>
      </w:r>
      <w:r w:rsidRPr="009F43FC">
        <w:rPr>
          <w:lang w:val="en-US"/>
        </w:rPr>
        <w:t>Aufl. 2010, §</w:t>
      </w:r>
      <w:r w:rsidR="00594407">
        <w:rPr>
          <w:lang w:val="en-US"/>
        </w:rPr>
        <w:t xml:space="preserve"> 9 (S. 338 – 377)</w:t>
      </w:r>
    </w:p>
    <w:p w:rsidR="009F43FC" w:rsidRPr="009F43FC" w:rsidRDefault="009F43FC" w:rsidP="009F43FC">
      <w:pPr>
        <w:pStyle w:val="Textkrper2"/>
        <w:tabs>
          <w:tab w:val="left" w:pos="567"/>
          <w:tab w:val="left" w:pos="1134"/>
        </w:tabs>
        <w:spacing w:after="120"/>
        <w:rPr>
          <w:lang w:val="en-US"/>
        </w:rPr>
      </w:pPr>
    </w:p>
    <w:p w:rsidR="009F43FC" w:rsidRPr="009F43FC" w:rsidRDefault="009F43FC" w:rsidP="009F43FC">
      <w:pPr>
        <w:pStyle w:val="Textkrper2"/>
        <w:tabs>
          <w:tab w:val="left" w:pos="567"/>
          <w:tab w:val="left" w:pos="1134"/>
        </w:tabs>
        <w:spacing w:after="120"/>
        <w:rPr>
          <w:szCs w:val="24"/>
        </w:rPr>
      </w:pPr>
      <w:r w:rsidRPr="009F43FC">
        <w:rPr>
          <w:lang w:val="en-US"/>
        </w:rPr>
        <w:tab/>
      </w:r>
      <w:r w:rsidRPr="00CB24F9">
        <w:rPr>
          <w:lang w:val="en-GB"/>
        </w:rPr>
        <w:t>75)</w:t>
      </w:r>
      <w:r w:rsidRPr="00CB24F9">
        <w:rPr>
          <w:lang w:val="en-GB"/>
        </w:rPr>
        <w:tab/>
      </w:r>
      <w:r>
        <w:rPr>
          <w:szCs w:val="24"/>
          <w:lang w:val="en-GB"/>
        </w:rPr>
        <w:t xml:space="preserve">Appointment and Removal of Members of Constitutional Courts: Reconciling Demands for Legitimacy, Quality, </w:t>
      </w:r>
      <w:smartTag w:uri="urn:schemas-microsoft-com:office:smarttags" w:element="City">
        <w:smartTag w:uri="urn:schemas-microsoft-com:office:smarttags" w:element="place">
          <w:r>
            <w:rPr>
              <w:szCs w:val="24"/>
              <w:lang w:val="en-GB"/>
            </w:rPr>
            <w:t>Independence</w:t>
          </w:r>
        </w:smartTag>
      </w:smartTag>
      <w:r>
        <w:rPr>
          <w:szCs w:val="24"/>
          <w:lang w:val="en-GB"/>
        </w:rPr>
        <w:t xml:space="preserve"> and Impartiality, in: Anayasa Yargısı 27 (2010), S. 143 – 160 (türkische Übersetzung ebd. </w:t>
      </w:r>
      <w:r w:rsidRPr="009F43FC">
        <w:rPr>
          <w:szCs w:val="24"/>
        </w:rPr>
        <w:t>S. 123 – 142)</w:t>
      </w:r>
    </w:p>
    <w:p w:rsidR="009F43FC" w:rsidRPr="009F43FC" w:rsidRDefault="009F43FC" w:rsidP="009F43FC">
      <w:pPr>
        <w:pStyle w:val="Textkrper2"/>
        <w:tabs>
          <w:tab w:val="left" w:pos="567"/>
          <w:tab w:val="left" w:pos="1134"/>
        </w:tabs>
        <w:spacing w:after="120"/>
      </w:pPr>
    </w:p>
    <w:p w:rsidR="009F43FC" w:rsidRPr="009F43FC" w:rsidRDefault="009F43FC" w:rsidP="009F43FC">
      <w:pPr>
        <w:pStyle w:val="Textkrper2"/>
        <w:tabs>
          <w:tab w:val="left" w:pos="567"/>
          <w:tab w:val="left" w:pos="1134"/>
        </w:tabs>
        <w:spacing w:after="120"/>
        <w:rPr>
          <w:lang w:val="en-US"/>
        </w:rPr>
      </w:pPr>
      <w:r>
        <w:rPr>
          <w:szCs w:val="24"/>
        </w:rPr>
        <w:tab/>
        <w:t>76)</w:t>
      </w:r>
      <w:r>
        <w:rPr>
          <w:szCs w:val="24"/>
        </w:rPr>
        <w:tab/>
      </w:r>
      <w:r w:rsidRPr="008817E5">
        <w:rPr>
          <w:szCs w:val="24"/>
        </w:rPr>
        <w:t xml:space="preserve">Art. 116 GG, in: </w:t>
      </w:r>
      <w:r>
        <w:rPr>
          <w:szCs w:val="24"/>
        </w:rPr>
        <w:t xml:space="preserve">Theodor </w:t>
      </w:r>
      <w:r w:rsidRPr="008817E5">
        <w:rPr>
          <w:szCs w:val="24"/>
        </w:rPr>
        <w:t>Maunz/</w:t>
      </w:r>
      <w:r>
        <w:rPr>
          <w:szCs w:val="24"/>
        </w:rPr>
        <w:t xml:space="preserve">Günter </w:t>
      </w:r>
      <w:r w:rsidRPr="008817E5">
        <w:rPr>
          <w:szCs w:val="24"/>
        </w:rPr>
        <w:t>Dürig u.a. (Hrsg.), Grundgesetz, Ko</w:t>
      </w:r>
      <w:r w:rsidRPr="008817E5">
        <w:rPr>
          <w:szCs w:val="24"/>
        </w:rPr>
        <w:t>m</w:t>
      </w:r>
      <w:r w:rsidRPr="008817E5">
        <w:rPr>
          <w:szCs w:val="24"/>
        </w:rPr>
        <w:t>mentar (C.H. Beck</w:t>
      </w:r>
      <w:r>
        <w:rPr>
          <w:szCs w:val="24"/>
        </w:rPr>
        <w:t xml:space="preserve">, 61. </w:t>
      </w:r>
      <w:r w:rsidRPr="009F43FC">
        <w:rPr>
          <w:szCs w:val="24"/>
          <w:lang w:val="en-US"/>
        </w:rPr>
        <w:t>Ergänzungslieferung Januar 2011), 55 Seiten</w:t>
      </w:r>
    </w:p>
    <w:p w:rsidR="009F43FC" w:rsidRPr="009F43FC" w:rsidRDefault="009F43FC" w:rsidP="009F43FC">
      <w:pPr>
        <w:pStyle w:val="Textkrper2"/>
        <w:tabs>
          <w:tab w:val="left" w:pos="567"/>
          <w:tab w:val="left" w:pos="1134"/>
        </w:tabs>
        <w:spacing w:after="120"/>
        <w:jc w:val="left"/>
        <w:rPr>
          <w:lang w:val="en-US"/>
        </w:rPr>
      </w:pPr>
    </w:p>
    <w:p w:rsidR="009F43FC" w:rsidRDefault="009F43FC" w:rsidP="009F43FC">
      <w:pPr>
        <w:pStyle w:val="Fuzeile"/>
        <w:tabs>
          <w:tab w:val="clear" w:pos="4536"/>
          <w:tab w:val="clear" w:pos="9072"/>
          <w:tab w:val="left" w:pos="567"/>
          <w:tab w:val="left" w:pos="1134"/>
        </w:tabs>
        <w:rPr>
          <w:sz w:val="24"/>
          <w:lang w:val="en-GB"/>
        </w:rPr>
      </w:pPr>
      <w:r w:rsidRPr="009F43FC">
        <w:rPr>
          <w:lang w:val="en-US"/>
        </w:rPr>
        <w:tab/>
      </w:r>
      <w:r>
        <w:rPr>
          <w:sz w:val="24"/>
          <w:szCs w:val="24"/>
          <w:lang w:val="en-GB"/>
        </w:rPr>
        <w:t>77)</w:t>
      </w:r>
      <w:r>
        <w:rPr>
          <w:sz w:val="24"/>
          <w:szCs w:val="24"/>
          <w:lang w:val="en-GB"/>
        </w:rPr>
        <w:tab/>
      </w:r>
      <w:r>
        <w:rPr>
          <w:sz w:val="24"/>
          <w:lang w:val="en-GB"/>
        </w:rPr>
        <w:t xml:space="preserve">The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  <w:lang w:val="en-GB"/>
            </w:rPr>
            <w:t>Federal Constitutional Court</w:t>
          </w:r>
        </w:smartTag>
      </w:smartTag>
      <w:r>
        <w:rPr>
          <w:sz w:val="24"/>
          <w:lang w:val="en-GB"/>
        </w:rPr>
        <w:t xml:space="preserve">’s Non-Sustainable Role as </w:t>
      </w:r>
      <w:smartTag w:uri="urn:schemas-microsoft-com:office:smarttags" w:element="place">
        <w:r>
          <w:rPr>
            <w:sz w:val="24"/>
            <w:lang w:val="en-GB"/>
          </w:rPr>
          <w:t>Europe</w:t>
        </w:r>
      </w:smartTag>
      <w:r>
        <w:rPr>
          <w:sz w:val="24"/>
          <w:lang w:val="en-GB"/>
        </w:rPr>
        <w:t>’s Ultimate Arbiter: From Age Discrimination to the Saving of the Euro, in: German Yearbook of Intern</w:t>
      </w:r>
      <w:r>
        <w:rPr>
          <w:sz w:val="24"/>
          <w:lang w:val="en-GB"/>
        </w:rPr>
        <w:t>a</w:t>
      </w:r>
      <w:r>
        <w:rPr>
          <w:sz w:val="24"/>
          <w:lang w:val="en-GB"/>
        </w:rPr>
        <w:t>tional Law Vol. 53 (2010), S. 867 – 884</w:t>
      </w:r>
    </w:p>
    <w:p w:rsidR="009F43FC" w:rsidRDefault="009F43FC" w:rsidP="009F43FC">
      <w:pPr>
        <w:pStyle w:val="Textkrper2"/>
        <w:tabs>
          <w:tab w:val="left" w:pos="567"/>
          <w:tab w:val="left" w:pos="1134"/>
        </w:tabs>
        <w:spacing w:after="120"/>
        <w:jc w:val="left"/>
        <w:rPr>
          <w:lang w:val="en-GB"/>
        </w:rPr>
      </w:pPr>
    </w:p>
    <w:p w:rsidR="009F43FC" w:rsidRDefault="009F43FC" w:rsidP="009F43FC">
      <w:pPr>
        <w:pStyle w:val="Fuzeile"/>
        <w:tabs>
          <w:tab w:val="clear" w:pos="4536"/>
          <w:tab w:val="clear" w:pos="9072"/>
          <w:tab w:val="left" w:pos="567"/>
          <w:tab w:val="left" w:pos="1134"/>
        </w:tabs>
        <w:rPr>
          <w:sz w:val="24"/>
          <w:lang w:val="en-GB"/>
        </w:rPr>
      </w:pPr>
      <w:r>
        <w:rPr>
          <w:sz w:val="24"/>
          <w:lang w:val="en-GB"/>
        </w:rPr>
        <w:lastRenderedPageBreak/>
        <w:tab/>
        <w:t>78)</w:t>
      </w:r>
      <w:r>
        <w:rPr>
          <w:sz w:val="24"/>
          <w:lang w:val="en-GB"/>
        </w:rPr>
        <w:tab/>
        <w:t>Chechen Rebels as “</w:t>
      </w:r>
      <w:r w:rsidRPr="00FC2CCB">
        <w:rPr>
          <w:i/>
          <w:sz w:val="24"/>
          <w:lang w:val="en-GB"/>
        </w:rPr>
        <w:t>bona fide</w:t>
      </w:r>
      <w:r>
        <w:rPr>
          <w:sz w:val="24"/>
          <w:lang w:val="en-GB"/>
        </w:rPr>
        <w:t xml:space="preserve"> refugees”? The Judgment of the Federal Admini</w:t>
      </w:r>
      <w:r>
        <w:rPr>
          <w:sz w:val="24"/>
          <w:lang w:val="en-GB"/>
        </w:rPr>
        <w:t>s</w:t>
      </w:r>
      <w:r>
        <w:rPr>
          <w:sz w:val="24"/>
          <w:lang w:val="en-GB"/>
        </w:rPr>
        <w:t xml:space="preserve">trative Court of </w:t>
      </w:r>
      <w:smartTag w:uri="urn:schemas-microsoft-com:office:smarttags" w:element="date">
        <w:smartTagPr>
          <w:attr w:name="Year" w:val="2009"/>
          <w:attr w:name="Day" w:val="24"/>
          <w:attr w:name="Month" w:val="11"/>
        </w:smartTagPr>
        <w:r>
          <w:rPr>
            <w:sz w:val="24"/>
            <w:lang w:val="en-GB"/>
          </w:rPr>
          <w:t>24 November 2009</w:t>
        </w:r>
      </w:smartTag>
      <w:r>
        <w:rPr>
          <w:sz w:val="24"/>
          <w:lang w:val="en-GB"/>
        </w:rPr>
        <w:t>, in: German Yearbook of International Law Vol. 53 (2010), S. 885 – 896 (zusammen mit Oliver Daum)</w:t>
      </w:r>
    </w:p>
    <w:p w:rsidR="009F43FC" w:rsidRDefault="009F43FC" w:rsidP="009B3EB1">
      <w:pPr>
        <w:pStyle w:val="Textkrper2"/>
        <w:tabs>
          <w:tab w:val="left" w:pos="567"/>
          <w:tab w:val="left" w:pos="1134"/>
        </w:tabs>
        <w:spacing w:after="120"/>
        <w:jc w:val="left"/>
        <w:rPr>
          <w:lang w:val="en-GB"/>
        </w:rPr>
      </w:pPr>
    </w:p>
    <w:p w:rsidR="00626912" w:rsidRDefault="00626912" w:rsidP="009B3EB1">
      <w:pPr>
        <w:pStyle w:val="Textkrper2"/>
        <w:tabs>
          <w:tab w:val="left" w:pos="567"/>
          <w:tab w:val="left" w:pos="1134"/>
        </w:tabs>
        <w:spacing w:after="120"/>
        <w:jc w:val="left"/>
      </w:pPr>
      <w:r>
        <w:rPr>
          <w:lang w:val="en-GB"/>
        </w:rPr>
        <w:tab/>
      </w:r>
      <w:r w:rsidRPr="00626912">
        <w:t>79)</w:t>
      </w:r>
      <w:r w:rsidRPr="00626912">
        <w:tab/>
        <w:t>Einführung: Funktioniert das internationale Wirtschafts- und Finanzsystem ang</w:t>
      </w:r>
      <w:r w:rsidRPr="00626912">
        <w:t>e</w:t>
      </w:r>
      <w:r w:rsidRPr="00626912">
        <w:t>messen?,</w:t>
      </w:r>
      <w:r>
        <w:t xml:space="preserve"> in: Thomas Giegerich (Hrsg.), Internationales Wirtschafts- und Finanzrecht in der Krise (Duncker &amp; Humblot 2011)</w:t>
      </w:r>
      <w:r w:rsidR="005A2D8A">
        <w:t>, S. 7 – 9</w:t>
      </w:r>
    </w:p>
    <w:p w:rsidR="00626912" w:rsidRDefault="00626912" w:rsidP="009B3EB1">
      <w:pPr>
        <w:pStyle w:val="Textkrper2"/>
        <w:tabs>
          <w:tab w:val="left" w:pos="567"/>
          <w:tab w:val="left" w:pos="1134"/>
        </w:tabs>
        <w:spacing w:after="120"/>
        <w:jc w:val="left"/>
      </w:pPr>
    </w:p>
    <w:p w:rsidR="00497F55" w:rsidRDefault="00497F55" w:rsidP="00497F55">
      <w:pPr>
        <w:pStyle w:val="Fuzeile"/>
        <w:tabs>
          <w:tab w:val="clear" w:pos="4536"/>
          <w:tab w:val="clear" w:pos="9072"/>
          <w:tab w:val="left" w:pos="567"/>
          <w:tab w:val="left" w:pos="1134"/>
        </w:tabs>
        <w:rPr>
          <w:sz w:val="24"/>
        </w:rPr>
      </w:pPr>
      <w:r>
        <w:rPr>
          <w:sz w:val="24"/>
        </w:rPr>
        <w:tab/>
        <w:t>80)</w:t>
      </w:r>
      <w:r>
        <w:rPr>
          <w:sz w:val="24"/>
        </w:rPr>
        <w:tab/>
      </w:r>
      <w:r w:rsidRPr="006A3AC2">
        <w:rPr>
          <w:sz w:val="24"/>
          <w:szCs w:val="24"/>
        </w:rPr>
        <w:t>Die Souveränität als Grund- und Grenzbegriff des Staats-, Völker- und Europ</w:t>
      </w:r>
      <w:r w:rsidRPr="006A3AC2">
        <w:rPr>
          <w:sz w:val="24"/>
          <w:szCs w:val="24"/>
        </w:rPr>
        <w:t>a</w:t>
      </w:r>
      <w:r w:rsidRPr="006A3AC2">
        <w:rPr>
          <w:sz w:val="24"/>
          <w:szCs w:val="24"/>
        </w:rPr>
        <w:t>rechts</w:t>
      </w:r>
      <w:r>
        <w:rPr>
          <w:sz w:val="24"/>
          <w:szCs w:val="24"/>
        </w:rPr>
        <w:t>, in: Utz Schliesky u.a. (Hrsg.), Die Freiheit des Menschen in Kommune, Staat und E</w:t>
      </w:r>
      <w:r>
        <w:rPr>
          <w:sz w:val="24"/>
          <w:szCs w:val="24"/>
        </w:rPr>
        <w:t>u</w:t>
      </w:r>
      <w:r>
        <w:rPr>
          <w:sz w:val="24"/>
          <w:szCs w:val="24"/>
        </w:rPr>
        <w:t>ropa. Festschrift für Edzard Schmidt-Jortzig (C.F. Müller 2011), S. 603 – 631</w:t>
      </w:r>
    </w:p>
    <w:p w:rsidR="00497F55" w:rsidRDefault="00497F55" w:rsidP="00497F55">
      <w:pPr>
        <w:pStyle w:val="Textkrper2"/>
        <w:tabs>
          <w:tab w:val="left" w:pos="567"/>
          <w:tab w:val="left" w:pos="1134"/>
        </w:tabs>
        <w:spacing w:after="120"/>
        <w:jc w:val="left"/>
      </w:pPr>
    </w:p>
    <w:p w:rsidR="00497F55" w:rsidRPr="00497F55" w:rsidRDefault="00497F55" w:rsidP="00497F55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  <w:r>
        <w:tab/>
      </w:r>
      <w:r w:rsidRPr="00497F55">
        <w:t>81)</w:t>
      </w:r>
      <w:r w:rsidRPr="00497F55">
        <w:tab/>
      </w:r>
      <w:r w:rsidRPr="00497F55">
        <w:rPr>
          <w:szCs w:val="24"/>
        </w:rPr>
        <w:t>Articles 54 – 63, in: Oliver Dörr and Kirsten Schmalenbach (eds), Vienna Co</w:t>
      </w:r>
      <w:r w:rsidRPr="00497F55">
        <w:rPr>
          <w:szCs w:val="24"/>
        </w:rPr>
        <w:t>n</w:t>
      </w:r>
      <w:r w:rsidRPr="00497F55">
        <w:rPr>
          <w:szCs w:val="24"/>
        </w:rPr>
        <w:t>vention on the Law of Treaties – A Commentary (Springer-Verlag 2012), S. 945 – 1120</w:t>
      </w:r>
    </w:p>
    <w:p w:rsidR="00497F55" w:rsidRPr="00497F55" w:rsidRDefault="00497F55" w:rsidP="00497F55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</w:p>
    <w:p w:rsidR="00497F55" w:rsidRDefault="00497F55" w:rsidP="00497F55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GB"/>
        </w:rPr>
      </w:pPr>
      <w:r w:rsidRPr="00497F55">
        <w:rPr>
          <w:szCs w:val="24"/>
        </w:rPr>
        <w:tab/>
      </w:r>
      <w:r>
        <w:rPr>
          <w:szCs w:val="24"/>
          <w:lang w:val="en-US"/>
        </w:rPr>
        <w:t>82)</w:t>
      </w:r>
      <w:r>
        <w:rPr>
          <w:szCs w:val="24"/>
          <w:lang w:val="en-US"/>
        </w:rPr>
        <w:tab/>
        <w:t xml:space="preserve">Treaties, Multilateral, Reservations to, in: </w:t>
      </w:r>
      <w:r w:rsidRPr="008817E5">
        <w:rPr>
          <w:szCs w:val="24"/>
          <w:lang w:val="en-GB"/>
        </w:rPr>
        <w:t>Rüdiger Wolfrum (ed.), The Max Planck Encyclopedia of Public International L</w:t>
      </w:r>
      <w:r>
        <w:rPr>
          <w:szCs w:val="24"/>
          <w:lang w:val="en-GB"/>
        </w:rPr>
        <w:t>aw, Volume IX (Oxford University Press 2012</w:t>
      </w:r>
      <w:r w:rsidRPr="008817E5">
        <w:rPr>
          <w:szCs w:val="24"/>
          <w:lang w:val="en-GB"/>
        </w:rPr>
        <w:t>)</w:t>
      </w:r>
      <w:r>
        <w:rPr>
          <w:szCs w:val="24"/>
          <w:lang w:val="en-GB"/>
        </w:rPr>
        <w:t>, S</w:t>
      </w:r>
      <w:r w:rsidR="00E14D47">
        <w:rPr>
          <w:szCs w:val="24"/>
          <w:lang w:val="en-GB"/>
        </w:rPr>
        <w:t>.</w:t>
      </w:r>
      <w:r w:rsidR="00594407">
        <w:rPr>
          <w:szCs w:val="24"/>
          <w:lang w:val="en-GB"/>
        </w:rPr>
        <w:t xml:space="preserve"> 1124 – 1135</w:t>
      </w:r>
    </w:p>
    <w:p w:rsidR="00497F55" w:rsidRDefault="00497F55" w:rsidP="00497F55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GB"/>
        </w:rPr>
      </w:pPr>
    </w:p>
    <w:p w:rsidR="00497F55" w:rsidRDefault="00497F55" w:rsidP="00497F55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GB"/>
        </w:rPr>
      </w:pPr>
      <w:r>
        <w:rPr>
          <w:szCs w:val="24"/>
          <w:lang w:val="en-GB"/>
        </w:rPr>
        <w:tab/>
        <w:t>83)</w:t>
      </w:r>
      <w:r>
        <w:rPr>
          <w:szCs w:val="24"/>
          <w:lang w:val="en-GB"/>
        </w:rPr>
        <w:tab/>
        <w:t xml:space="preserve">Foreign Relations Law, </w:t>
      </w:r>
      <w:r>
        <w:rPr>
          <w:szCs w:val="24"/>
          <w:lang w:val="en-US"/>
        </w:rPr>
        <w:t xml:space="preserve">in: </w:t>
      </w:r>
      <w:r w:rsidRPr="008817E5">
        <w:rPr>
          <w:szCs w:val="24"/>
          <w:lang w:val="en-GB"/>
        </w:rPr>
        <w:t>Rüdiger Wolfrum (ed.), The Max Planck Encyclopedia of Public International L</w:t>
      </w:r>
      <w:r>
        <w:rPr>
          <w:szCs w:val="24"/>
          <w:lang w:val="en-GB"/>
        </w:rPr>
        <w:t>aw, Volume IV (Oxford University Press 2012</w:t>
      </w:r>
      <w:r w:rsidRPr="008817E5">
        <w:rPr>
          <w:szCs w:val="24"/>
          <w:lang w:val="en-GB"/>
        </w:rPr>
        <w:t>)</w:t>
      </w:r>
      <w:r>
        <w:rPr>
          <w:szCs w:val="24"/>
          <w:lang w:val="en-GB"/>
        </w:rPr>
        <w:t>,</w:t>
      </w:r>
      <w:r w:rsidR="00E14D47">
        <w:rPr>
          <w:szCs w:val="24"/>
          <w:lang w:val="en-GB"/>
        </w:rPr>
        <w:t xml:space="preserve"> </w:t>
      </w:r>
      <w:r w:rsidR="00594407">
        <w:rPr>
          <w:szCs w:val="24"/>
          <w:lang w:val="en-GB"/>
        </w:rPr>
        <w:t>S. 178 – 190</w:t>
      </w:r>
    </w:p>
    <w:p w:rsidR="00497F55" w:rsidRDefault="00497F55" w:rsidP="00497F55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GB"/>
        </w:rPr>
      </w:pPr>
    </w:p>
    <w:p w:rsidR="00497F55" w:rsidRDefault="00497F55" w:rsidP="00497F55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GB"/>
        </w:rPr>
      </w:pPr>
      <w:r>
        <w:rPr>
          <w:szCs w:val="24"/>
          <w:lang w:val="en-GB"/>
        </w:rPr>
        <w:tab/>
        <w:t>84)</w:t>
      </w:r>
      <w:r>
        <w:rPr>
          <w:szCs w:val="24"/>
          <w:lang w:val="en-GB"/>
        </w:rPr>
        <w:tab/>
        <w:t xml:space="preserve">Retorsion, </w:t>
      </w:r>
      <w:r>
        <w:rPr>
          <w:szCs w:val="24"/>
          <w:lang w:val="en-US"/>
        </w:rPr>
        <w:t xml:space="preserve">in: </w:t>
      </w:r>
      <w:r w:rsidRPr="008817E5">
        <w:rPr>
          <w:szCs w:val="24"/>
          <w:lang w:val="en-GB"/>
        </w:rPr>
        <w:t>Rüdiger Wolfrum (ed.), The Max Planck Encyclopedia of Public International L</w:t>
      </w:r>
      <w:r>
        <w:rPr>
          <w:szCs w:val="24"/>
          <w:lang w:val="en-GB"/>
        </w:rPr>
        <w:t>aw, Volume VIII (Oxford University Press 2012</w:t>
      </w:r>
      <w:r w:rsidRPr="008817E5">
        <w:rPr>
          <w:szCs w:val="24"/>
          <w:lang w:val="en-GB"/>
        </w:rPr>
        <w:t>)</w:t>
      </w:r>
      <w:r>
        <w:rPr>
          <w:szCs w:val="24"/>
          <w:lang w:val="en-GB"/>
        </w:rPr>
        <w:t>,</w:t>
      </w:r>
      <w:r w:rsidR="00594407">
        <w:rPr>
          <w:szCs w:val="24"/>
          <w:lang w:val="en-GB"/>
        </w:rPr>
        <w:t xml:space="preserve"> S. 976 – 981</w:t>
      </w:r>
    </w:p>
    <w:p w:rsidR="00497F55" w:rsidRDefault="00497F55" w:rsidP="00497F55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GB"/>
        </w:rPr>
      </w:pPr>
    </w:p>
    <w:p w:rsidR="00497F55" w:rsidRPr="008B7210" w:rsidRDefault="00497F55" w:rsidP="00497F55">
      <w:pPr>
        <w:pStyle w:val="Textkrper2"/>
        <w:tabs>
          <w:tab w:val="left" w:pos="567"/>
          <w:tab w:val="left" w:pos="1134"/>
        </w:tabs>
        <w:spacing w:after="120"/>
        <w:jc w:val="left"/>
        <w:rPr>
          <w:lang w:val="en-US"/>
        </w:rPr>
      </w:pPr>
      <w:r>
        <w:rPr>
          <w:szCs w:val="24"/>
          <w:lang w:val="en-US"/>
        </w:rPr>
        <w:tab/>
        <w:t>85)</w:t>
      </w:r>
      <w:r>
        <w:rPr>
          <w:szCs w:val="24"/>
          <w:lang w:val="en-US"/>
        </w:rPr>
        <w:tab/>
      </w:r>
      <w:r w:rsidRPr="00D947F1">
        <w:rPr>
          <w:szCs w:val="24"/>
          <w:lang w:val="en-US"/>
        </w:rPr>
        <w:t xml:space="preserve">The Federal Constitutional Court’s Deference to and Boost for Parliament in Euro Crisis Management, German Yearbook of International Law </w:t>
      </w:r>
      <w:r>
        <w:rPr>
          <w:lang w:val="en-GB"/>
        </w:rPr>
        <w:t>Law Vol. 54 (2011), S. 639 – 657</w:t>
      </w:r>
    </w:p>
    <w:p w:rsidR="00497F55" w:rsidRDefault="00497F55" w:rsidP="009B3EB1">
      <w:pPr>
        <w:pStyle w:val="Textkrper2"/>
        <w:tabs>
          <w:tab w:val="left" w:pos="567"/>
          <w:tab w:val="left" w:pos="1134"/>
        </w:tabs>
        <w:spacing w:after="120"/>
        <w:jc w:val="left"/>
        <w:rPr>
          <w:lang w:val="en-US"/>
        </w:rPr>
      </w:pPr>
    </w:p>
    <w:p w:rsidR="00CA37B6" w:rsidRPr="0010764A" w:rsidRDefault="00CA37B6" w:rsidP="00CA37B6">
      <w:pPr>
        <w:pStyle w:val="Textkrper2"/>
        <w:tabs>
          <w:tab w:val="left" w:pos="567"/>
          <w:tab w:val="left" w:pos="1134"/>
        </w:tabs>
        <w:spacing w:after="120"/>
        <w:jc w:val="left"/>
      </w:pPr>
      <w:r w:rsidRPr="00AE735A">
        <w:rPr>
          <w:lang w:val="en-US"/>
        </w:rPr>
        <w:tab/>
      </w:r>
      <w:r>
        <w:t>86)</w:t>
      </w:r>
      <w:r>
        <w:tab/>
      </w:r>
      <w:r w:rsidRPr="00DA001D">
        <w:rPr>
          <w:szCs w:val="24"/>
        </w:rPr>
        <w:t>Zur Einführung: Die “europäische Föderation” – unendliche Annäherung an eine Utopie, in: Thomas Giegerich (Hrsg.),</w:t>
      </w:r>
      <w:r>
        <w:rPr>
          <w:szCs w:val="24"/>
        </w:rPr>
        <w:t xml:space="preserve"> Herausforderungen und Perspektiven der EU (</w:t>
      </w:r>
      <w:r w:rsidRPr="00DA001D">
        <w:rPr>
          <w:szCs w:val="24"/>
        </w:rPr>
        <w:t xml:space="preserve">Duncker &amp; Humblot </w:t>
      </w:r>
      <w:r>
        <w:rPr>
          <w:szCs w:val="24"/>
        </w:rPr>
        <w:t>2012), S. 7 – 33</w:t>
      </w:r>
    </w:p>
    <w:p w:rsidR="00CA37B6" w:rsidRDefault="00CA37B6" w:rsidP="00CA37B6">
      <w:pPr>
        <w:pStyle w:val="Textkrper2"/>
        <w:tabs>
          <w:tab w:val="left" w:pos="567"/>
          <w:tab w:val="left" w:pos="1134"/>
        </w:tabs>
        <w:spacing w:after="120"/>
        <w:jc w:val="left"/>
      </w:pPr>
    </w:p>
    <w:p w:rsidR="00CA37B6" w:rsidRPr="00CA37B6" w:rsidRDefault="00CA37B6" w:rsidP="00CA37B6">
      <w:pPr>
        <w:pStyle w:val="Textkrper2"/>
        <w:tabs>
          <w:tab w:val="left" w:pos="567"/>
          <w:tab w:val="left" w:pos="1134"/>
        </w:tabs>
        <w:spacing w:after="120"/>
        <w:jc w:val="left"/>
      </w:pPr>
      <w:r>
        <w:tab/>
        <w:t>87)</w:t>
      </w:r>
      <w:r>
        <w:tab/>
      </w:r>
      <w:r w:rsidRPr="002D5969">
        <w:rPr>
          <w:szCs w:val="24"/>
        </w:rPr>
        <w:t>Europarechtskonträre Staatshaftung? – Widerspruchsfreiheit der Rechtsordnung und Pflichtenstellung Privater nach dem Karlsruher Honeywell-Dictum</w:t>
      </w:r>
      <w:r>
        <w:rPr>
          <w:szCs w:val="24"/>
        </w:rPr>
        <w:t>, Europarecht 47/4 (2012), S. 373 – 392</w:t>
      </w:r>
    </w:p>
    <w:p w:rsidR="009F43FC" w:rsidRDefault="009F43FC" w:rsidP="005B49A1">
      <w:pPr>
        <w:pStyle w:val="berschrift1"/>
        <w:tabs>
          <w:tab w:val="left" w:pos="567"/>
        </w:tabs>
        <w:spacing w:after="120"/>
        <w:jc w:val="both"/>
        <w:rPr>
          <w:b w:val="0"/>
        </w:rPr>
      </w:pPr>
    </w:p>
    <w:p w:rsidR="005A4AB3" w:rsidRPr="00714D19" w:rsidRDefault="005A4AB3" w:rsidP="005A4AB3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US"/>
        </w:rPr>
      </w:pPr>
      <w:r>
        <w:tab/>
        <w:t>88)</w:t>
      </w:r>
      <w:r>
        <w:tab/>
      </w:r>
      <w:r>
        <w:rPr>
          <w:szCs w:val="24"/>
        </w:rPr>
        <w:t>Art. 122 – 125</w:t>
      </w:r>
      <w:r w:rsidRPr="008817E5">
        <w:rPr>
          <w:szCs w:val="24"/>
        </w:rPr>
        <w:t xml:space="preserve">, in: </w:t>
      </w:r>
      <w:r>
        <w:rPr>
          <w:szCs w:val="24"/>
        </w:rPr>
        <w:t xml:space="preserve">Theodor </w:t>
      </w:r>
      <w:r w:rsidRPr="008817E5">
        <w:rPr>
          <w:szCs w:val="24"/>
        </w:rPr>
        <w:t>Maunz/</w:t>
      </w:r>
      <w:r>
        <w:rPr>
          <w:szCs w:val="24"/>
        </w:rPr>
        <w:t xml:space="preserve">Günter </w:t>
      </w:r>
      <w:r w:rsidRPr="008817E5">
        <w:rPr>
          <w:szCs w:val="24"/>
        </w:rPr>
        <w:t>Dürig u.a. (Hrsg.), Grundgesetz, Kommentar (C.H. Beck</w:t>
      </w:r>
      <w:r>
        <w:rPr>
          <w:szCs w:val="24"/>
        </w:rPr>
        <w:t xml:space="preserve">, 66. </w:t>
      </w:r>
      <w:r w:rsidRPr="00714D19">
        <w:rPr>
          <w:szCs w:val="24"/>
          <w:lang w:val="en-US"/>
        </w:rPr>
        <w:t>Ergänzungslieferung August 2012), 73 Seiten</w:t>
      </w:r>
    </w:p>
    <w:p w:rsidR="005A4AB3" w:rsidRPr="00714D19" w:rsidRDefault="005A4AB3" w:rsidP="005A4AB3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US"/>
        </w:rPr>
      </w:pPr>
    </w:p>
    <w:p w:rsidR="005A4AB3" w:rsidRPr="00714D19" w:rsidRDefault="005A4AB3" w:rsidP="005A4AB3">
      <w:pPr>
        <w:pStyle w:val="Textkrper2"/>
        <w:tabs>
          <w:tab w:val="left" w:pos="567"/>
          <w:tab w:val="left" w:pos="1134"/>
        </w:tabs>
        <w:spacing w:after="120"/>
        <w:jc w:val="left"/>
        <w:rPr>
          <w:lang w:val="en-US"/>
        </w:rPr>
      </w:pPr>
      <w:r w:rsidRPr="00714D19">
        <w:rPr>
          <w:lang w:val="en-US"/>
        </w:rPr>
        <w:lastRenderedPageBreak/>
        <w:tab/>
      </w:r>
      <w:r w:rsidRPr="000C20FD">
        <w:rPr>
          <w:lang w:val="en-US"/>
        </w:rPr>
        <w:t>89)</w:t>
      </w:r>
      <w:r w:rsidRPr="000C20FD">
        <w:rPr>
          <w:lang w:val="en-US"/>
        </w:rPr>
        <w:tab/>
        <w:t>Commentaries on Arts</w:t>
      </w:r>
      <w:r>
        <w:rPr>
          <w:lang w:val="en-US"/>
        </w:rPr>
        <w:t>. 36 – 38 UN Charter</w:t>
      </w:r>
      <w:r w:rsidRPr="000C20FD">
        <w:rPr>
          <w:lang w:val="en-US"/>
        </w:rPr>
        <w:t>, in: Bruno Simma/Daniel-Erasmus Khan/Georg Nolte/Andreas Paulus (eds.), The Charter of the United Nations – A Commentary (3</w:t>
      </w:r>
      <w:r w:rsidRPr="000C20FD">
        <w:rPr>
          <w:vertAlign w:val="superscript"/>
          <w:lang w:val="en-US"/>
        </w:rPr>
        <w:t>rd</w:t>
      </w:r>
      <w:r w:rsidRPr="000C20FD">
        <w:rPr>
          <w:lang w:val="en-US"/>
        </w:rPr>
        <w:t xml:space="preserve"> ed. </w:t>
      </w:r>
      <w:r w:rsidRPr="00714D19">
        <w:rPr>
          <w:lang w:val="en-US"/>
        </w:rPr>
        <w:t>Oxford University Press 2012), Volume I, S. 1119 – 1170 (Die Kommentierung von Art. 36 UN-Charta ist zweitveröffentlicht in: Andreas Zimmermann/Christian Tomu</w:t>
      </w:r>
      <w:r w:rsidRPr="00714D19">
        <w:rPr>
          <w:lang w:val="en-US"/>
        </w:rPr>
        <w:t>s</w:t>
      </w:r>
      <w:r w:rsidRPr="00714D19">
        <w:rPr>
          <w:lang w:val="en-US"/>
        </w:rPr>
        <w:t>chat/Karin Oellers-Frahm/Christian Tams [eds.], The Statute of the International Court of Ju</w:t>
      </w:r>
      <w:r w:rsidRPr="00714D19">
        <w:rPr>
          <w:lang w:val="en-US"/>
        </w:rPr>
        <w:t>s</w:t>
      </w:r>
      <w:r w:rsidRPr="00714D19">
        <w:rPr>
          <w:lang w:val="en-US"/>
        </w:rPr>
        <w:t>tice – A Commentary [2nd ed. 2012], S. 134 – 162.)</w:t>
      </w:r>
    </w:p>
    <w:p w:rsidR="005A4AB3" w:rsidRPr="00714D19" w:rsidRDefault="005A4AB3" w:rsidP="005A4AB3">
      <w:pPr>
        <w:pStyle w:val="Textkrper2"/>
        <w:tabs>
          <w:tab w:val="left" w:pos="567"/>
          <w:tab w:val="left" w:pos="1134"/>
        </w:tabs>
        <w:spacing w:after="120"/>
        <w:jc w:val="left"/>
        <w:rPr>
          <w:lang w:val="en-US"/>
        </w:rPr>
      </w:pPr>
    </w:p>
    <w:p w:rsidR="005A4AB3" w:rsidRDefault="005A4AB3" w:rsidP="005A4AB3">
      <w:pPr>
        <w:pStyle w:val="Textkrper2"/>
        <w:tabs>
          <w:tab w:val="left" w:pos="567"/>
          <w:tab w:val="left" w:pos="1134"/>
        </w:tabs>
        <w:spacing w:after="120"/>
        <w:jc w:val="left"/>
      </w:pPr>
      <w:r w:rsidRPr="00714D19">
        <w:rPr>
          <w:lang w:val="en-US"/>
        </w:rPr>
        <w:tab/>
      </w:r>
      <w:r>
        <w:t>90)</w:t>
      </w:r>
      <w:r>
        <w:tab/>
        <w:t>Völkerrechtliche Verträge, in: Hanno Kube u.a. (Hrsg.), Leitgedanken des Rechts – Paul Kirchhof zum 70. Geburtstag, Band I: Staat und Verfassung (C. F. Müller 2013), § 96 (S. 1025 – 1034)</w:t>
      </w:r>
    </w:p>
    <w:p w:rsidR="005A4AB3" w:rsidRDefault="005A4AB3" w:rsidP="005A4AB3">
      <w:pPr>
        <w:pStyle w:val="Textkrper2"/>
        <w:tabs>
          <w:tab w:val="left" w:pos="567"/>
          <w:tab w:val="left" w:pos="1134"/>
        </w:tabs>
        <w:spacing w:after="120"/>
        <w:jc w:val="left"/>
      </w:pPr>
    </w:p>
    <w:p w:rsidR="005A4AB3" w:rsidRPr="00D21ACB" w:rsidRDefault="005A4AB3" w:rsidP="005A4AB3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US"/>
        </w:rPr>
      </w:pPr>
      <w:r w:rsidRPr="00133BEA">
        <w:rPr>
          <w:szCs w:val="24"/>
        </w:rPr>
        <w:tab/>
      </w:r>
      <w:r>
        <w:rPr>
          <w:szCs w:val="24"/>
          <w:lang w:val="en-US"/>
        </w:rPr>
        <w:t>91)</w:t>
      </w:r>
      <w:r>
        <w:rPr>
          <w:szCs w:val="24"/>
          <w:lang w:val="en-US"/>
        </w:rPr>
        <w:tab/>
      </w:r>
      <w:r w:rsidRPr="00D910DD">
        <w:rPr>
          <w:szCs w:val="24"/>
          <w:lang w:val="en-US"/>
        </w:rPr>
        <w:t>The German Federal Constitutional Court’s Misguided Attempts to Guard the European Guardians in Luxemburg and Strasbourg</w:t>
      </w:r>
      <w:r>
        <w:rPr>
          <w:szCs w:val="24"/>
          <w:lang w:val="en-US"/>
        </w:rPr>
        <w:t xml:space="preserve">, in: Marten Breuer u.a. (Hrsg.), Der Staat im Recht. </w:t>
      </w:r>
      <w:r w:rsidRPr="00D21ACB">
        <w:rPr>
          <w:szCs w:val="24"/>
          <w:lang w:val="en-US"/>
        </w:rPr>
        <w:t>Festschrift für Eckart Klein zum 70. Geburtstag (Duncker &amp; Humblot 2013), S. 49 – 64</w:t>
      </w:r>
    </w:p>
    <w:p w:rsidR="005A4AB3" w:rsidRPr="00D21ACB" w:rsidRDefault="005A4AB3" w:rsidP="005A4AB3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US"/>
        </w:rPr>
      </w:pPr>
    </w:p>
    <w:p w:rsidR="005A4AB3" w:rsidRDefault="005A4AB3" w:rsidP="005A4AB3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  <w:r w:rsidRPr="00D21ACB">
        <w:rPr>
          <w:szCs w:val="24"/>
          <w:lang w:val="en-US"/>
        </w:rPr>
        <w:tab/>
      </w:r>
      <w:r w:rsidRPr="00131156">
        <w:rPr>
          <w:szCs w:val="24"/>
          <w:lang w:val="en-US"/>
        </w:rPr>
        <w:t>92)</w:t>
      </w:r>
      <w:r w:rsidRPr="00131156">
        <w:rPr>
          <w:szCs w:val="24"/>
          <w:lang w:val="en-US"/>
        </w:rPr>
        <w:tab/>
      </w:r>
      <w:r w:rsidRPr="001713B4">
        <w:rPr>
          <w:szCs w:val="24"/>
          <w:lang w:val="en-US"/>
        </w:rPr>
        <w:t>The Holy See, a Former Somalian Prime Minister and a Confiscated Pissarro Painting: Recent U.S. Case Law on Foreign Sovereign Immunity</w:t>
      </w:r>
      <w:r>
        <w:rPr>
          <w:szCs w:val="24"/>
          <w:lang w:val="en-US"/>
        </w:rPr>
        <w:t xml:space="preserve">, in: Dirk Hanschel u.a. (Hrsg.), Mensch und Recht. </w:t>
      </w:r>
      <w:r w:rsidRPr="00131156">
        <w:rPr>
          <w:szCs w:val="24"/>
        </w:rPr>
        <w:t>Festschrift für Eibe Riedel zum 70.</w:t>
      </w:r>
      <w:r>
        <w:rPr>
          <w:szCs w:val="24"/>
        </w:rPr>
        <w:t xml:space="preserve"> Geburtstag </w:t>
      </w:r>
      <w:r w:rsidRPr="00131156">
        <w:rPr>
          <w:szCs w:val="24"/>
        </w:rPr>
        <w:t>(Duncker &amp; Humblot 2013)</w:t>
      </w:r>
      <w:r>
        <w:rPr>
          <w:szCs w:val="24"/>
        </w:rPr>
        <w:t>, S. 371 – 387</w:t>
      </w:r>
    </w:p>
    <w:p w:rsidR="005A4AB3" w:rsidRDefault="005A4AB3" w:rsidP="005A4AB3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</w:p>
    <w:p w:rsidR="005A4AB3" w:rsidRDefault="005A4AB3" w:rsidP="005A4AB3">
      <w:pPr>
        <w:pStyle w:val="Textkrper2"/>
        <w:tabs>
          <w:tab w:val="left" w:pos="567"/>
          <w:tab w:val="left" w:pos="1134"/>
        </w:tabs>
        <w:spacing w:after="120"/>
        <w:jc w:val="left"/>
      </w:pPr>
      <w:r>
        <w:rPr>
          <w:szCs w:val="24"/>
        </w:rPr>
        <w:tab/>
        <w:t>93)</w:t>
      </w:r>
      <w:r>
        <w:rPr>
          <w:szCs w:val="24"/>
        </w:rPr>
        <w:tab/>
      </w:r>
      <w:r>
        <w:t>Wirkung und Rang der EMRK in den Rechtsordnungen der Mitgliedstaaten, in: Dörr, Oliver/Grote, Rainer/Marauhn, Thilo (Hrsg.), EMRK/GG: Konkordanzkommentar zum europäischen und deutschen Grundrechtsschutz, Band I, 2. Aufl. (Mohr Siebeck 2013), Kap</w:t>
      </w:r>
      <w:r>
        <w:t>i</w:t>
      </w:r>
      <w:r>
        <w:t>tel 2 (S. 57 – 98)</w:t>
      </w:r>
    </w:p>
    <w:p w:rsidR="005A4AB3" w:rsidRDefault="005A4AB3" w:rsidP="005A4AB3">
      <w:pPr>
        <w:pStyle w:val="Textkrper2"/>
        <w:tabs>
          <w:tab w:val="left" w:pos="567"/>
          <w:tab w:val="left" w:pos="1134"/>
        </w:tabs>
        <w:spacing w:after="120"/>
        <w:jc w:val="left"/>
      </w:pPr>
    </w:p>
    <w:p w:rsidR="005A4AB3" w:rsidRPr="005A4AB3" w:rsidRDefault="005A4AB3" w:rsidP="005A4AB3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  <w:r w:rsidRPr="005A4AB3">
        <w:rPr>
          <w:sz w:val="24"/>
          <w:szCs w:val="24"/>
        </w:rPr>
        <w:tab/>
        <w:t>94)</w:t>
      </w:r>
      <w:r w:rsidRPr="005A4AB3">
        <w:rPr>
          <w:sz w:val="24"/>
          <w:szCs w:val="24"/>
        </w:rPr>
        <w:tab/>
        <w:t xml:space="preserve">Freizügigkeit, in: Dörr, Oliver/Grote, Rainer/Marauhn, Thilo (Hrsg.), EMRK/GG: Konkordanzkommentar zum europäischen und deutschen Grundrechtsschutz, Band II, 2. Aufl. </w:t>
      </w:r>
      <w:r>
        <w:rPr>
          <w:sz w:val="24"/>
          <w:szCs w:val="24"/>
        </w:rPr>
        <w:t>(</w:t>
      </w:r>
      <w:r w:rsidRPr="005A4AB3">
        <w:rPr>
          <w:sz w:val="24"/>
          <w:szCs w:val="24"/>
        </w:rPr>
        <w:t>Mohr Siebeck 2013</w:t>
      </w:r>
      <w:r>
        <w:rPr>
          <w:sz w:val="24"/>
          <w:szCs w:val="24"/>
        </w:rPr>
        <w:t>)</w:t>
      </w:r>
      <w:r w:rsidRPr="005A4AB3">
        <w:rPr>
          <w:sz w:val="24"/>
          <w:szCs w:val="24"/>
        </w:rPr>
        <w:t>, Kapitel 26 (S. 1723 – 1798)</w:t>
      </w:r>
    </w:p>
    <w:p w:rsidR="005A4AB3" w:rsidRDefault="005A4AB3" w:rsidP="005A4AB3">
      <w:pPr>
        <w:spacing w:after="120"/>
        <w:rPr>
          <w:sz w:val="24"/>
          <w:szCs w:val="24"/>
        </w:rPr>
      </w:pPr>
    </w:p>
    <w:p w:rsidR="00581CB9" w:rsidRDefault="00581CB9" w:rsidP="00581CB9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  <w:r>
        <w:tab/>
        <w:t>95)</w:t>
      </w:r>
      <w:r>
        <w:tab/>
      </w:r>
      <w:r w:rsidRPr="00573F00">
        <w:rPr>
          <w:szCs w:val="24"/>
        </w:rPr>
        <w:t>Spät kommt Ihr, doch Ihr kommt: Warum wird die Grundrechtskonformität der Vorratsdatenspeicherungs-Richtlinie erst nach acht Jahren geklärt?</w:t>
      </w:r>
      <w:r>
        <w:rPr>
          <w:szCs w:val="24"/>
        </w:rPr>
        <w:t>, Zeitschrift für Europ</w:t>
      </w:r>
      <w:r>
        <w:rPr>
          <w:szCs w:val="24"/>
        </w:rPr>
        <w:t>a</w:t>
      </w:r>
      <w:r>
        <w:rPr>
          <w:szCs w:val="24"/>
        </w:rPr>
        <w:t>rechtliche Studien Heft 1/2014, S. 3 – 17</w:t>
      </w:r>
    </w:p>
    <w:p w:rsidR="00581CB9" w:rsidRDefault="00581CB9" w:rsidP="00581CB9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</w:p>
    <w:p w:rsidR="00581CB9" w:rsidRDefault="00581CB9" w:rsidP="00581CB9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US"/>
        </w:rPr>
      </w:pPr>
      <w:r>
        <w:rPr>
          <w:szCs w:val="24"/>
        </w:rPr>
        <w:tab/>
      </w:r>
      <w:r w:rsidRPr="009716CE">
        <w:rPr>
          <w:szCs w:val="24"/>
          <w:lang w:val="en-US"/>
        </w:rPr>
        <w:t>96)</w:t>
      </w:r>
      <w:r w:rsidRPr="009716CE">
        <w:rPr>
          <w:szCs w:val="24"/>
          <w:lang w:val="en-US"/>
        </w:rPr>
        <w:tab/>
      </w:r>
      <w:r w:rsidRPr="00C149BF">
        <w:rPr>
          <w:szCs w:val="24"/>
          <w:lang w:val="en-US"/>
        </w:rPr>
        <w:t xml:space="preserve">Introduction: </w:t>
      </w:r>
      <w:r>
        <w:rPr>
          <w:szCs w:val="24"/>
          <w:lang w:val="en-US"/>
        </w:rPr>
        <w:t>Trying to Fathom</w:t>
      </w:r>
      <w:r w:rsidRPr="00C149BF">
        <w:rPr>
          <w:szCs w:val="24"/>
          <w:lang w:val="en-US"/>
        </w:rPr>
        <w:t xml:space="preserve"> the Shallows of European Unification, in: Thomas Giegerich/Oskar Josef Gstrein/Seba</w:t>
      </w:r>
      <w:r>
        <w:rPr>
          <w:szCs w:val="24"/>
          <w:lang w:val="en-US"/>
        </w:rPr>
        <w:t>stian Zeitzmann (eds.), The EU Between “an Ever Closer Union” and Inalienable Policy D</w:t>
      </w:r>
      <w:r w:rsidRPr="00C149BF">
        <w:rPr>
          <w:szCs w:val="24"/>
          <w:lang w:val="en-US"/>
        </w:rPr>
        <w:t>omains of Member States</w:t>
      </w:r>
      <w:r>
        <w:rPr>
          <w:szCs w:val="24"/>
          <w:lang w:val="en-US"/>
        </w:rPr>
        <w:t xml:space="preserve"> (Nomos 2014), S. 17 – 41</w:t>
      </w:r>
    </w:p>
    <w:p w:rsidR="00581CB9" w:rsidRDefault="00581CB9" w:rsidP="00581CB9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US"/>
        </w:rPr>
      </w:pPr>
    </w:p>
    <w:p w:rsidR="00581CB9" w:rsidRDefault="00581CB9" w:rsidP="00581CB9">
      <w:pPr>
        <w:pStyle w:val="Fuzeile"/>
        <w:tabs>
          <w:tab w:val="clear" w:pos="4536"/>
          <w:tab w:val="clear" w:pos="9072"/>
          <w:tab w:val="left" w:pos="567"/>
          <w:tab w:val="left" w:pos="1134"/>
        </w:tabs>
        <w:spacing w:after="120"/>
        <w:rPr>
          <w:sz w:val="24"/>
          <w:szCs w:val="24"/>
        </w:rPr>
      </w:pPr>
      <w:r w:rsidRPr="00321B90">
        <w:rPr>
          <w:sz w:val="24"/>
          <w:szCs w:val="24"/>
          <w:lang w:val="en-US"/>
        </w:rPr>
        <w:tab/>
      </w:r>
      <w:r>
        <w:rPr>
          <w:sz w:val="24"/>
          <w:szCs w:val="24"/>
        </w:rPr>
        <w:t>97</w:t>
      </w:r>
      <w:r w:rsidRPr="00402D7C">
        <w:rPr>
          <w:sz w:val="24"/>
          <w:szCs w:val="24"/>
        </w:rPr>
        <w:t>)</w:t>
      </w:r>
      <w:r w:rsidRPr="00402D7C">
        <w:rPr>
          <w:sz w:val="24"/>
          <w:szCs w:val="24"/>
        </w:rPr>
        <w:tab/>
      </w:r>
      <w:r>
        <w:rPr>
          <w:sz w:val="24"/>
          <w:szCs w:val="24"/>
        </w:rPr>
        <w:t xml:space="preserve">Internationale Standards – </w:t>
      </w:r>
      <w:r w:rsidRPr="00402D7C">
        <w:rPr>
          <w:sz w:val="24"/>
          <w:szCs w:val="24"/>
        </w:rPr>
        <w:t>aus völkerrechtlicher Perspektive</w:t>
      </w:r>
      <w:r>
        <w:rPr>
          <w:sz w:val="24"/>
          <w:szCs w:val="24"/>
        </w:rPr>
        <w:t>, in: Pa</w:t>
      </w:r>
      <w:r>
        <w:rPr>
          <w:sz w:val="24"/>
          <w:szCs w:val="24"/>
        </w:rPr>
        <w:t>u</w:t>
      </w:r>
      <w:r>
        <w:rPr>
          <w:sz w:val="24"/>
          <w:szCs w:val="24"/>
        </w:rPr>
        <w:t>lus/Dethloff/Giegerich/Schwenzer/Krieger/Ziegler/Talmon/Schack, Internationales, nationales und privates Recht: Hybridisierung der Rechtsordnungen?/Immunität, Berichte der Deutschen Gesellschaft für Internationales Recht Band 46 (C.F. Müller 2014), S. 101 – 186, 217 – 220, 229 – 231</w:t>
      </w:r>
    </w:p>
    <w:p w:rsidR="00581CB9" w:rsidRDefault="00581CB9" w:rsidP="00581CB9">
      <w:pPr>
        <w:pStyle w:val="Textkrper2"/>
        <w:tabs>
          <w:tab w:val="left" w:pos="567"/>
          <w:tab w:val="left" w:pos="1134"/>
        </w:tabs>
        <w:spacing w:after="120"/>
        <w:jc w:val="left"/>
      </w:pPr>
    </w:p>
    <w:p w:rsidR="00581CB9" w:rsidRDefault="00581CB9" w:rsidP="00581CB9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  <w:r w:rsidRPr="00A744E6">
        <w:rPr>
          <w:sz w:val="24"/>
          <w:szCs w:val="24"/>
        </w:rPr>
        <w:tab/>
      </w:r>
      <w:r w:rsidRPr="00A744E6">
        <w:rPr>
          <w:sz w:val="24"/>
          <w:szCs w:val="24"/>
          <w:lang w:val="en-US"/>
        </w:rPr>
        <w:t>98)</w:t>
      </w:r>
      <w:r w:rsidRPr="00A744E6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Demise of a ‘Legal Lohengrin’</w:t>
      </w:r>
      <w:r w:rsidRPr="00A744E6">
        <w:rPr>
          <w:sz w:val="24"/>
          <w:szCs w:val="24"/>
          <w:lang w:val="en-US"/>
        </w:rPr>
        <w:t xml:space="preserve">? An International Lawyer’s Question Mark over </w:t>
      </w:r>
      <w:r w:rsidRPr="00A744E6">
        <w:rPr>
          <w:i/>
          <w:sz w:val="24"/>
          <w:szCs w:val="24"/>
          <w:lang w:val="en-US"/>
        </w:rPr>
        <w:t>Kiobel v. Royal Dutch Petroleum,</w:t>
      </w:r>
      <w:r w:rsidRPr="00A744E6">
        <w:rPr>
          <w:sz w:val="24"/>
          <w:szCs w:val="24"/>
          <w:lang w:val="en-US"/>
        </w:rPr>
        <w:t xml:space="preserve"> in: Jost Delbrück u.a. (Hrsg.), Aus Kiel in die Welt: Kiel’s Contribution to International Law. </w:t>
      </w:r>
      <w:r>
        <w:rPr>
          <w:sz w:val="24"/>
          <w:szCs w:val="24"/>
        </w:rPr>
        <w:t>Festschrift zum 100-jährigen Bestehen des</w:t>
      </w:r>
      <w:r w:rsidRPr="00A744E6">
        <w:rPr>
          <w:sz w:val="24"/>
          <w:szCs w:val="24"/>
        </w:rPr>
        <w:t xml:space="preserve"> Walther-Schücking-Institut</w:t>
      </w:r>
      <w:r>
        <w:rPr>
          <w:sz w:val="24"/>
          <w:szCs w:val="24"/>
        </w:rPr>
        <w:t>s</w:t>
      </w:r>
      <w:r w:rsidRPr="00A744E6">
        <w:rPr>
          <w:sz w:val="24"/>
          <w:szCs w:val="24"/>
        </w:rPr>
        <w:t xml:space="preserve"> für Internationales Recht (Duncker &amp; Humblot 2014)</w:t>
      </w:r>
      <w:r>
        <w:rPr>
          <w:sz w:val="24"/>
          <w:szCs w:val="24"/>
        </w:rPr>
        <w:t>, S. 335 – 367</w:t>
      </w:r>
    </w:p>
    <w:p w:rsidR="00581CB9" w:rsidRDefault="00581CB9" w:rsidP="00581CB9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</w:p>
    <w:p w:rsidR="00581CB9" w:rsidRDefault="00581CB9" w:rsidP="00581CB9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99)</w:t>
      </w:r>
      <w:r>
        <w:rPr>
          <w:sz w:val="24"/>
          <w:szCs w:val="24"/>
        </w:rPr>
        <w:tab/>
      </w:r>
      <w:r w:rsidRPr="0084136F">
        <w:rPr>
          <w:sz w:val="24"/>
          <w:szCs w:val="24"/>
        </w:rPr>
        <w:t xml:space="preserve">Der Justizgewährleistungsanspruch in Europa: Art. </w:t>
      </w:r>
      <w:r>
        <w:rPr>
          <w:sz w:val="24"/>
          <w:szCs w:val="24"/>
        </w:rPr>
        <w:t>47 GrCh</w:t>
      </w:r>
      <w:r w:rsidRPr="0084136F">
        <w:rPr>
          <w:sz w:val="24"/>
          <w:szCs w:val="24"/>
        </w:rPr>
        <w:t>, Art. 19 Abs. 1 UAbs. 2 EUV und das deutsche Verwaltungsprozessrecht, Zeitschrift für</w:t>
      </w:r>
      <w:r>
        <w:rPr>
          <w:sz w:val="24"/>
          <w:szCs w:val="24"/>
        </w:rPr>
        <w:t xml:space="preserve"> Europarechtliche Studien 17 (</w:t>
      </w:r>
      <w:r w:rsidRPr="0084136F">
        <w:rPr>
          <w:sz w:val="24"/>
          <w:szCs w:val="24"/>
        </w:rPr>
        <w:t>2014</w:t>
      </w:r>
      <w:r>
        <w:rPr>
          <w:sz w:val="24"/>
          <w:szCs w:val="24"/>
        </w:rPr>
        <w:t>), S. 461 - 483</w:t>
      </w:r>
      <w:r w:rsidRPr="0084136F">
        <w:rPr>
          <w:sz w:val="24"/>
          <w:szCs w:val="24"/>
        </w:rPr>
        <w:t xml:space="preserve"> (zusammen mit Sabrina Lauer)</w:t>
      </w:r>
    </w:p>
    <w:p w:rsidR="00581CB9" w:rsidRDefault="00581CB9" w:rsidP="00581CB9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</w:p>
    <w:p w:rsidR="00581CB9" w:rsidRDefault="00581CB9" w:rsidP="00581CB9">
      <w:pPr>
        <w:pStyle w:val="Fuzeile"/>
        <w:tabs>
          <w:tab w:val="clear" w:pos="4536"/>
          <w:tab w:val="clear" w:pos="9072"/>
          <w:tab w:val="left" w:pos="567"/>
          <w:tab w:val="left" w:pos="1134"/>
        </w:tabs>
        <w:spacing w:after="120"/>
        <w:rPr>
          <w:sz w:val="24"/>
          <w:szCs w:val="24"/>
          <w:lang w:val="en-GB"/>
        </w:rPr>
      </w:pPr>
      <w:r w:rsidRPr="0087659E">
        <w:rPr>
          <w:sz w:val="24"/>
          <w:szCs w:val="24"/>
        </w:rPr>
        <w:tab/>
      </w:r>
      <w:r>
        <w:rPr>
          <w:sz w:val="24"/>
          <w:szCs w:val="24"/>
          <w:lang w:val="en-US"/>
        </w:rPr>
        <w:t>100</w:t>
      </w:r>
      <w:r w:rsidRPr="001026AC">
        <w:rPr>
          <w:sz w:val="24"/>
          <w:szCs w:val="24"/>
          <w:lang w:val="en-US"/>
        </w:rPr>
        <w:t>)</w:t>
      </w:r>
      <w:r w:rsidRPr="001026AC">
        <w:rPr>
          <w:sz w:val="24"/>
          <w:szCs w:val="24"/>
          <w:lang w:val="en-US"/>
        </w:rPr>
        <w:tab/>
      </w:r>
      <w:r w:rsidRPr="001026AC">
        <w:rPr>
          <w:sz w:val="24"/>
          <w:szCs w:val="24"/>
          <w:lang w:val="en-GB"/>
        </w:rPr>
        <w:t>The Struggle by the German Courts and Legislature to T</w:t>
      </w:r>
      <w:r>
        <w:rPr>
          <w:sz w:val="24"/>
          <w:szCs w:val="24"/>
          <w:lang w:val="en-GB"/>
        </w:rPr>
        <w:t xml:space="preserve">ranspose the Strasbourg </w:t>
      </w:r>
      <w:r w:rsidRPr="001026AC">
        <w:rPr>
          <w:sz w:val="24"/>
          <w:szCs w:val="24"/>
          <w:lang w:val="en-GB"/>
        </w:rPr>
        <w:t>Case-Law on Preventive Detention into German Law</w:t>
      </w:r>
      <w:r>
        <w:rPr>
          <w:sz w:val="24"/>
          <w:szCs w:val="24"/>
          <w:lang w:val="en-GB"/>
        </w:rPr>
        <w:t>, in: Anja Seibert-Fohr/Mark E. Villiger (eds.), Judgments of the European Court of Human Rights – Effects and Implementation (Nomos 2014), S. 207 – 236</w:t>
      </w:r>
    </w:p>
    <w:p w:rsidR="00581CB9" w:rsidRPr="00E605E1" w:rsidRDefault="00581CB9" w:rsidP="00581CB9">
      <w:pPr>
        <w:tabs>
          <w:tab w:val="left" w:pos="567"/>
          <w:tab w:val="left" w:pos="1134"/>
        </w:tabs>
        <w:spacing w:after="120"/>
        <w:rPr>
          <w:sz w:val="24"/>
          <w:szCs w:val="24"/>
          <w:lang w:val="en-GB"/>
        </w:rPr>
      </w:pPr>
    </w:p>
    <w:p w:rsidR="00581CB9" w:rsidRPr="00A744E6" w:rsidRDefault="00581CB9" w:rsidP="00581CB9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  <w:r w:rsidRPr="00E605E1">
        <w:rPr>
          <w:sz w:val="24"/>
          <w:szCs w:val="24"/>
          <w:lang w:val="en-US"/>
        </w:rPr>
        <w:tab/>
      </w:r>
      <w:r>
        <w:rPr>
          <w:sz w:val="24"/>
          <w:szCs w:val="24"/>
        </w:rPr>
        <w:t>101)</w:t>
      </w:r>
      <w:r>
        <w:rPr>
          <w:sz w:val="24"/>
          <w:szCs w:val="24"/>
        </w:rPr>
        <w:tab/>
      </w:r>
      <w:r w:rsidRPr="00727710">
        <w:rPr>
          <w:sz w:val="24"/>
          <w:szCs w:val="24"/>
        </w:rPr>
        <w:t>Einleitung</w:t>
      </w:r>
      <w:r>
        <w:rPr>
          <w:sz w:val="24"/>
          <w:szCs w:val="24"/>
        </w:rPr>
        <w:t>: Reflexionen über „Räumlichkeit“ und „Persönlichkeit“ im Recht, in: Kerstin Odendahl/Thomas Giegerich (Hrsg.), Räume im Völker- und Europarecht (Duncker &amp; Humblot 2014), S. 13 – 19 (zusammen mit Kerstin Odendahl)</w:t>
      </w:r>
    </w:p>
    <w:p w:rsidR="00581CB9" w:rsidRDefault="00581CB9" w:rsidP="00581CB9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</w:p>
    <w:p w:rsidR="00581CB9" w:rsidRDefault="00581CB9" w:rsidP="00581CB9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  <w:r w:rsidRPr="008F4F81">
        <w:rPr>
          <w:sz w:val="24"/>
          <w:szCs w:val="24"/>
        </w:rPr>
        <w:tab/>
      </w:r>
      <w:r>
        <w:rPr>
          <w:sz w:val="24"/>
          <w:szCs w:val="24"/>
        </w:rPr>
        <w:t>102</w:t>
      </w:r>
      <w:r w:rsidRPr="008F4F81">
        <w:rPr>
          <w:sz w:val="24"/>
          <w:szCs w:val="24"/>
        </w:rPr>
        <w:t>)</w:t>
      </w:r>
      <w:r w:rsidRPr="008F4F81">
        <w:rPr>
          <w:sz w:val="24"/>
          <w:szCs w:val="24"/>
        </w:rPr>
        <w:tab/>
        <w:t>Unionsbürgerschaft, politische Rechte, in: Schulze, Reiner/Zuleeg, Man</w:t>
      </w:r>
      <w:r w:rsidRPr="008F4F81">
        <w:rPr>
          <w:sz w:val="24"/>
          <w:szCs w:val="24"/>
        </w:rPr>
        <w:t>f</w:t>
      </w:r>
      <w:r w:rsidRPr="008F4F81">
        <w:rPr>
          <w:sz w:val="24"/>
          <w:szCs w:val="24"/>
        </w:rPr>
        <w:t>red/Kadelbach, Stefan (Hrsg.), Europarecht – Handbuch für die deutsche Re</w:t>
      </w:r>
      <w:r>
        <w:rPr>
          <w:sz w:val="24"/>
          <w:szCs w:val="24"/>
        </w:rPr>
        <w:t>chtspraxis, 3</w:t>
      </w:r>
      <w:r w:rsidRPr="008F4F81">
        <w:rPr>
          <w:sz w:val="24"/>
          <w:szCs w:val="24"/>
        </w:rPr>
        <w:t xml:space="preserve">. </w:t>
      </w:r>
      <w:r>
        <w:rPr>
          <w:sz w:val="24"/>
          <w:szCs w:val="24"/>
        </w:rPr>
        <w:t>Aufl. 2015, § 9 (S. 374 – 418</w:t>
      </w:r>
      <w:r w:rsidR="00594407">
        <w:rPr>
          <w:sz w:val="24"/>
          <w:szCs w:val="24"/>
        </w:rPr>
        <w:t>)</w:t>
      </w:r>
    </w:p>
    <w:p w:rsidR="00581CB9" w:rsidRDefault="00581CB9" w:rsidP="00581CB9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</w:p>
    <w:p w:rsidR="00581CB9" w:rsidRPr="008F4F81" w:rsidRDefault="00581CB9" w:rsidP="00581CB9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103)</w:t>
      </w:r>
      <w:r>
        <w:rPr>
          <w:sz w:val="24"/>
          <w:szCs w:val="24"/>
        </w:rPr>
        <w:tab/>
      </w:r>
      <w:r w:rsidRPr="009E0972">
        <w:rPr>
          <w:sz w:val="24"/>
          <w:szCs w:val="24"/>
        </w:rPr>
        <w:t>Verfassungshomogenität, Verfassungsautonomie und Verfassungsaufsicht in der EU: Zum „neuen Rechtsstaatsmechanismus“ der Europäischen Kommission</w:t>
      </w:r>
      <w:r>
        <w:rPr>
          <w:sz w:val="24"/>
          <w:szCs w:val="24"/>
        </w:rPr>
        <w:t>, in: Christian Calliess (Hrsg.), Herausforderungen an Staat und Verfassung: Völkerrecht – Europarecht – Menschenrechte. Liber Amicorum für Torsten Stein zum 70. Geburtstag (Nomos 2015), S. 499 – 542</w:t>
      </w:r>
    </w:p>
    <w:p w:rsidR="00581CB9" w:rsidRDefault="00581CB9" w:rsidP="00581CB9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</w:p>
    <w:p w:rsidR="00581CB9" w:rsidRDefault="00581CB9" w:rsidP="00581CB9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104)</w:t>
      </w:r>
      <w:r>
        <w:rPr>
          <w:sz w:val="24"/>
          <w:szCs w:val="24"/>
        </w:rPr>
        <w:tab/>
      </w:r>
      <w:r w:rsidRPr="00DB7F03">
        <w:rPr>
          <w:sz w:val="24"/>
          <w:szCs w:val="24"/>
        </w:rPr>
        <w:t>Wege zu einer vertieften Gemeinsamen Außen- und Sicherheitspolitik: Reparatur von Defiziten als „kleine Lösung“</w:t>
      </w:r>
      <w:r>
        <w:rPr>
          <w:sz w:val="24"/>
          <w:szCs w:val="24"/>
        </w:rPr>
        <w:t>, in: Stefan Kadelbach (Hrsg.), Die Europäische Union am Scheideweg: mehr oder weniger Europa? (Nomos 2015), S. 135 – 182</w:t>
      </w:r>
    </w:p>
    <w:p w:rsidR="00581CB9" w:rsidRDefault="00581CB9" w:rsidP="00581CB9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</w:p>
    <w:p w:rsidR="00581CB9" w:rsidRDefault="00581CB9" w:rsidP="00581CB9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105)</w:t>
      </w:r>
      <w:r>
        <w:rPr>
          <w:sz w:val="24"/>
          <w:szCs w:val="24"/>
        </w:rPr>
        <w:tab/>
      </w:r>
      <w:r w:rsidRPr="0054072F">
        <w:rPr>
          <w:sz w:val="24"/>
          <w:szCs w:val="24"/>
        </w:rPr>
        <w:t>Vorgaben des regional-europäischen Völkerrechts zu (bio-) medizinischen Fragen</w:t>
      </w:r>
      <w:r>
        <w:rPr>
          <w:sz w:val="24"/>
          <w:szCs w:val="24"/>
        </w:rPr>
        <w:t>, in: Annemarie Matusche-Beckmann (Hrsg.), Keio-Tage 2014: Medizinrechtliches Symposium an der Universität des Saarlandes (Verlag Alma Mater 2015), S. 141 – 153</w:t>
      </w:r>
    </w:p>
    <w:p w:rsidR="00581CB9" w:rsidRPr="005A4AB3" w:rsidRDefault="00581CB9" w:rsidP="005A4AB3">
      <w:pPr>
        <w:spacing w:after="120"/>
        <w:rPr>
          <w:sz w:val="24"/>
          <w:szCs w:val="24"/>
        </w:rPr>
      </w:pPr>
    </w:p>
    <w:p w:rsidR="00594407" w:rsidRDefault="00594407" w:rsidP="00594407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 w:rsidRPr="004F3F40">
        <w:rPr>
          <w:sz w:val="24"/>
          <w:szCs w:val="24"/>
          <w:lang w:val="en-GB"/>
        </w:rPr>
        <w:t>106)</w:t>
      </w:r>
      <w:r w:rsidRPr="004F3F40">
        <w:rPr>
          <w:sz w:val="24"/>
          <w:szCs w:val="24"/>
          <w:lang w:val="en-GB"/>
        </w:rPr>
        <w:tab/>
      </w:r>
      <w:r w:rsidRPr="00321B90">
        <w:rPr>
          <w:sz w:val="24"/>
          <w:szCs w:val="24"/>
          <w:lang w:val="en-US"/>
        </w:rPr>
        <w:t>Constitutional Jurisdiction: The Art of Effectively Speaking Law to Power</w:t>
      </w:r>
      <w:r>
        <w:rPr>
          <w:sz w:val="24"/>
          <w:szCs w:val="24"/>
          <w:lang w:val="en-US"/>
        </w:rPr>
        <w:t>, in: Ali Rıza Çoban</w:t>
      </w:r>
      <w:r w:rsidRPr="00321B90">
        <w:rPr>
          <w:sz w:val="24"/>
          <w:szCs w:val="24"/>
          <w:lang w:val="en-US"/>
        </w:rPr>
        <w:t xml:space="preserve"> et al. (eds.),</w:t>
      </w:r>
      <w:r>
        <w:rPr>
          <w:sz w:val="24"/>
          <w:szCs w:val="24"/>
          <w:lang w:val="en-US"/>
        </w:rPr>
        <w:t xml:space="preserve"> 25 Years at the Constitutional Court for Human Dignity. Essays in Honor of </w:t>
      </w:r>
      <w:r w:rsidRPr="00321B90">
        <w:rPr>
          <w:sz w:val="24"/>
          <w:szCs w:val="24"/>
          <w:lang w:val="en-US"/>
        </w:rPr>
        <w:t>Haşim Kılı</w:t>
      </w:r>
      <w:r w:rsidRPr="00321B90">
        <w:rPr>
          <w:sz w:val="24"/>
          <w:szCs w:val="24"/>
        </w:rPr>
        <w:t>ҫ</w:t>
      </w:r>
      <w:r w:rsidRPr="00471870">
        <w:rPr>
          <w:sz w:val="24"/>
          <w:szCs w:val="24"/>
          <w:lang w:val="en-GB"/>
        </w:rPr>
        <w:t xml:space="preserve">, Vol. </w:t>
      </w:r>
      <w:r>
        <w:rPr>
          <w:sz w:val="24"/>
          <w:szCs w:val="24"/>
        </w:rPr>
        <w:t>I</w:t>
      </w:r>
      <w:r w:rsidRPr="00471870">
        <w:rPr>
          <w:sz w:val="24"/>
          <w:szCs w:val="24"/>
        </w:rPr>
        <w:t xml:space="preserve"> (Ankara 2015), S. 613 – 637 (mit einer türkischen Übersetzung auf S. 638 – 661)</w:t>
      </w:r>
    </w:p>
    <w:p w:rsidR="00594407" w:rsidRDefault="00594407" w:rsidP="00594407">
      <w:pPr>
        <w:pStyle w:val="Textkrper2"/>
        <w:tabs>
          <w:tab w:val="left" w:pos="567"/>
          <w:tab w:val="left" w:pos="1134"/>
        </w:tabs>
        <w:spacing w:after="120"/>
        <w:jc w:val="left"/>
      </w:pPr>
    </w:p>
    <w:p w:rsidR="00594407" w:rsidRDefault="00594407" w:rsidP="00594407">
      <w:pPr>
        <w:pStyle w:val="Fuzeile"/>
        <w:tabs>
          <w:tab w:val="clear" w:pos="4536"/>
          <w:tab w:val="clear" w:pos="9072"/>
          <w:tab w:val="left" w:pos="567"/>
          <w:tab w:val="left" w:pos="113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107)</w:t>
      </w:r>
      <w:r>
        <w:rPr>
          <w:sz w:val="24"/>
          <w:szCs w:val="24"/>
        </w:rPr>
        <w:tab/>
      </w:r>
      <w:r w:rsidRPr="00CF4B84">
        <w:rPr>
          <w:sz w:val="24"/>
          <w:szCs w:val="24"/>
        </w:rPr>
        <w:t xml:space="preserve">Zwischen Europafreundlichkeit und Europaskepsis – </w:t>
      </w:r>
      <w:r>
        <w:rPr>
          <w:sz w:val="24"/>
          <w:szCs w:val="24"/>
        </w:rPr>
        <w:t>Kritischer Überblick über die bundesverfassungsgerichtliche</w:t>
      </w:r>
      <w:r w:rsidRPr="00CF4B84">
        <w:rPr>
          <w:sz w:val="24"/>
          <w:szCs w:val="24"/>
        </w:rPr>
        <w:t xml:space="preserve"> Rechtsprechung zur europäischen Integration</w:t>
      </w:r>
      <w:r>
        <w:rPr>
          <w:sz w:val="24"/>
          <w:szCs w:val="24"/>
        </w:rPr>
        <w:t>, ZEuS 19 (2016), S. 3 – 47</w:t>
      </w:r>
    </w:p>
    <w:p w:rsidR="00594407" w:rsidRDefault="00594407" w:rsidP="00594407">
      <w:pPr>
        <w:pStyle w:val="Textkrper2"/>
        <w:tabs>
          <w:tab w:val="left" w:pos="567"/>
          <w:tab w:val="left" w:pos="1134"/>
        </w:tabs>
        <w:spacing w:after="120"/>
        <w:jc w:val="left"/>
      </w:pPr>
    </w:p>
    <w:p w:rsidR="00594407" w:rsidRDefault="00594407" w:rsidP="00594407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  <w:r>
        <w:rPr>
          <w:szCs w:val="24"/>
        </w:rPr>
        <w:tab/>
        <w:t>108)</w:t>
      </w:r>
      <w:r>
        <w:rPr>
          <w:szCs w:val="24"/>
        </w:rPr>
        <w:tab/>
      </w:r>
      <w:r w:rsidRPr="00AC5B58">
        <w:rPr>
          <w:szCs w:val="24"/>
        </w:rPr>
        <w:t>Automatisierte Einzelabfrage von Halterdaten aus ausländischen Fahrzeugregi</w:t>
      </w:r>
      <w:r w:rsidRPr="00AC5B58">
        <w:rPr>
          <w:szCs w:val="24"/>
        </w:rPr>
        <w:t>s</w:t>
      </w:r>
      <w:r w:rsidRPr="00AC5B58">
        <w:rPr>
          <w:szCs w:val="24"/>
        </w:rPr>
        <w:t>tern zwecks Ahn</w:t>
      </w:r>
      <w:r>
        <w:rPr>
          <w:szCs w:val="24"/>
        </w:rPr>
        <w:t>d</w:t>
      </w:r>
      <w:r w:rsidRPr="00AC5B58">
        <w:rPr>
          <w:szCs w:val="24"/>
        </w:rPr>
        <w:t>ung bloßer Parkverstöße?</w:t>
      </w:r>
      <w:r>
        <w:rPr>
          <w:szCs w:val="24"/>
        </w:rPr>
        <w:t>, DÖV 2016, S. 456 – 465</w:t>
      </w:r>
    </w:p>
    <w:p w:rsidR="00594407" w:rsidRDefault="00594407" w:rsidP="00594407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</w:p>
    <w:p w:rsidR="00594407" w:rsidRDefault="00594407" w:rsidP="00594407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  <w:r>
        <w:rPr>
          <w:szCs w:val="24"/>
        </w:rPr>
        <w:tab/>
      </w:r>
      <w:r w:rsidRPr="00594407">
        <w:rPr>
          <w:sz w:val="24"/>
          <w:szCs w:val="24"/>
        </w:rPr>
        <w:t>109)</w:t>
      </w:r>
      <w:r w:rsidRPr="00594407">
        <w:rPr>
          <w:sz w:val="24"/>
          <w:szCs w:val="24"/>
        </w:rPr>
        <w:tab/>
      </w:r>
      <w:r w:rsidRPr="00314F2D">
        <w:rPr>
          <w:sz w:val="24"/>
          <w:szCs w:val="24"/>
        </w:rPr>
        <w:t>Wie weiter nach dem Brexit-Referendum im Vereinigten Königreich?</w:t>
      </w:r>
      <w:r>
        <w:rPr>
          <w:sz w:val="24"/>
          <w:szCs w:val="24"/>
        </w:rPr>
        <w:t>, Betriebs-Berater 2016/Heft 30 (25.7.2016), S. 1 (Die Erste Seite)</w:t>
      </w:r>
    </w:p>
    <w:p w:rsidR="00594407" w:rsidRDefault="00594407" w:rsidP="00594407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</w:p>
    <w:p w:rsidR="00594407" w:rsidRDefault="00594407" w:rsidP="00594407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110)</w:t>
      </w:r>
      <w:r>
        <w:rPr>
          <w:sz w:val="24"/>
          <w:szCs w:val="24"/>
        </w:rPr>
        <w:tab/>
        <w:t>Der Einsatz deutscher Verwaltungsbeamter zur Bearbeitung von Asylanträgen nach deutschem Recht in Erstaufnahme-Hotspots anderer EU-Mitgliedstaaten an den EU-Außengrenzen, in: Marc Bungenberg/Thomas Giegerich/Torsten Stein (Hrsg.), Asyl und Mi</w:t>
      </w:r>
      <w:r>
        <w:rPr>
          <w:sz w:val="24"/>
          <w:szCs w:val="24"/>
        </w:rPr>
        <w:t>g</w:t>
      </w:r>
      <w:r>
        <w:rPr>
          <w:sz w:val="24"/>
          <w:szCs w:val="24"/>
        </w:rPr>
        <w:t>ration in Europa – rechtliche Herausforderungen und Perspektiven, Nomos 2016 (Sonderband der Zeitschrift für Europarechtliche Studien), S. 221 – 234 (zusammen mit Kristina Müller)</w:t>
      </w:r>
    </w:p>
    <w:p w:rsidR="00594407" w:rsidRDefault="00594407" w:rsidP="00594407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</w:p>
    <w:p w:rsidR="00594407" w:rsidRDefault="00594407" w:rsidP="00594407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111)</w:t>
      </w:r>
      <w:r>
        <w:rPr>
          <w:sz w:val="24"/>
          <w:szCs w:val="24"/>
        </w:rPr>
        <w:tab/>
        <w:t>Die Erhebung, Speicherung und Verarbeitung personenbezogener Daten von Flüchtlingen, in: Marc Bungenberg/Thomas Giegerich/Torsten Stein (Hrsg.), Asyl und Migr</w:t>
      </w:r>
      <w:r>
        <w:rPr>
          <w:sz w:val="24"/>
          <w:szCs w:val="24"/>
        </w:rPr>
        <w:t>a</w:t>
      </w:r>
      <w:r>
        <w:rPr>
          <w:sz w:val="24"/>
          <w:szCs w:val="24"/>
        </w:rPr>
        <w:t>tion in Europa – rechtliche Herausforderungen und Perspektiven, Nomos 2016 (Sonderband der Zeitschrift für Europarechtliche Studien), S. 235 – 256 (zusammen mit Desirée Schmitt und Sabihat Kreß)</w:t>
      </w:r>
    </w:p>
    <w:p w:rsidR="00594407" w:rsidRDefault="00594407" w:rsidP="00594407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</w:p>
    <w:p w:rsidR="00594407" w:rsidRPr="00594407" w:rsidRDefault="00594407" w:rsidP="00594407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112)</w:t>
      </w:r>
      <w:r>
        <w:rPr>
          <w:sz w:val="24"/>
          <w:szCs w:val="24"/>
        </w:rPr>
        <w:tab/>
        <w:t>Editorial: Asyl und Migration in Europa – rechtliche Herausforderungen und Pe</w:t>
      </w:r>
      <w:r>
        <w:rPr>
          <w:sz w:val="24"/>
          <w:szCs w:val="24"/>
        </w:rPr>
        <w:t>r</w:t>
      </w:r>
      <w:r>
        <w:rPr>
          <w:sz w:val="24"/>
          <w:szCs w:val="24"/>
        </w:rPr>
        <w:t>spektiven, in: Marc Bungenberg/Thomas Giegerich/Torsten Stein (Hrsg.), Asyl und Migration in Europa – rechtliche Herausforderungen und Perspektiven, Nomos 2016 (Sonderband der Zeitschrift für Europarechtliche Studien), S. 3 – 5 (zusammen mit Marc Bungenberg und Torsten Stein)</w:t>
      </w:r>
    </w:p>
    <w:p w:rsidR="00594407" w:rsidRDefault="00594407" w:rsidP="00594407">
      <w:pPr>
        <w:pStyle w:val="Textkrper2"/>
        <w:tabs>
          <w:tab w:val="left" w:pos="567"/>
          <w:tab w:val="left" w:pos="1134"/>
        </w:tabs>
        <w:spacing w:after="120"/>
        <w:jc w:val="left"/>
      </w:pPr>
    </w:p>
    <w:p w:rsidR="005A4AB3" w:rsidRDefault="00594407" w:rsidP="00E354B1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113)</w:t>
      </w:r>
      <w:r>
        <w:rPr>
          <w:sz w:val="24"/>
          <w:szCs w:val="24"/>
        </w:rPr>
        <w:tab/>
      </w:r>
      <w:r w:rsidRPr="00594407">
        <w:rPr>
          <w:sz w:val="24"/>
          <w:szCs w:val="24"/>
        </w:rPr>
        <w:t>Europäische Vorreiterrolle im Datenschutzrecht: Neue Entwicklungen in der G</w:t>
      </w:r>
      <w:r w:rsidRPr="00594407">
        <w:rPr>
          <w:sz w:val="24"/>
          <w:szCs w:val="24"/>
        </w:rPr>
        <w:t>e</w:t>
      </w:r>
      <w:r w:rsidRPr="00594407">
        <w:rPr>
          <w:sz w:val="24"/>
          <w:szCs w:val="24"/>
        </w:rPr>
        <w:t>setzgebung, Rechtsprechung und internationalen Praxis der EU, ZEuS 19 (2016), S. 301 – 343</w:t>
      </w:r>
    </w:p>
    <w:p w:rsidR="00471870" w:rsidRDefault="00471870" w:rsidP="00471870">
      <w:pPr>
        <w:tabs>
          <w:tab w:val="left" w:pos="567"/>
        </w:tabs>
        <w:spacing w:after="120"/>
        <w:rPr>
          <w:sz w:val="24"/>
          <w:szCs w:val="24"/>
        </w:rPr>
      </w:pPr>
    </w:p>
    <w:p w:rsidR="00471870" w:rsidRPr="008200E0" w:rsidRDefault="00471870" w:rsidP="00471870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US"/>
        </w:rPr>
      </w:pPr>
      <w:r>
        <w:rPr>
          <w:szCs w:val="24"/>
        </w:rPr>
        <w:tab/>
        <w:t>114)</w:t>
      </w:r>
      <w:r>
        <w:rPr>
          <w:szCs w:val="24"/>
        </w:rPr>
        <w:tab/>
        <w:t xml:space="preserve">Art. 16 Abs. 1 GG, in: Theodor </w:t>
      </w:r>
      <w:r w:rsidRPr="008817E5">
        <w:rPr>
          <w:szCs w:val="24"/>
        </w:rPr>
        <w:t>Maunz/</w:t>
      </w:r>
      <w:r>
        <w:rPr>
          <w:szCs w:val="24"/>
        </w:rPr>
        <w:t xml:space="preserve">Günter </w:t>
      </w:r>
      <w:r w:rsidRPr="008817E5">
        <w:rPr>
          <w:szCs w:val="24"/>
        </w:rPr>
        <w:t>Dürig u.a. (Hrsg.), Grundgesetz, Kommentar (C.H. Beck</w:t>
      </w:r>
      <w:r>
        <w:rPr>
          <w:szCs w:val="24"/>
        </w:rPr>
        <w:t xml:space="preserve">, 78. </w:t>
      </w:r>
      <w:r w:rsidRPr="008200E0">
        <w:rPr>
          <w:szCs w:val="24"/>
          <w:lang w:val="en-US"/>
        </w:rPr>
        <w:t>Ergänzungslieferung September 2016), 85 Seiten</w:t>
      </w:r>
    </w:p>
    <w:p w:rsidR="00471870" w:rsidRPr="008200E0" w:rsidRDefault="00471870" w:rsidP="00471870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US"/>
        </w:rPr>
      </w:pPr>
    </w:p>
    <w:p w:rsidR="00471870" w:rsidRDefault="00471870" w:rsidP="00471870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GB"/>
        </w:rPr>
      </w:pPr>
      <w:r w:rsidRPr="008200E0">
        <w:rPr>
          <w:szCs w:val="24"/>
          <w:lang w:val="en-US"/>
        </w:rPr>
        <w:tab/>
      </w:r>
      <w:r w:rsidRPr="00F53184">
        <w:rPr>
          <w:szCs w:val="24"/>
          <w:lang w:val="en-US"/>
        </w:rPr>
        <w:t>115)</w:t>
      </w:r>
      <w:r w:rsidRPr="00F53184">
        <w:rPr>
          <w:szCs w:val="24"/>
          <w:lang w:val="en-US"/>
        </w:rPr>
        <w:tab/>
      </w:r>
      <w:r w:rsidRPr="000C6888">
        <w:rPr>
          <w:szCs w:val="24"/>
          <w:lang w:val="en-GB"/>
        </w:rPr>
        <w:t>Discriminatory Entrance Fee, the German Federal Constitutional Court and the Absent Court of Justice of the EU – A Commentary</w:t>
      </w:r>
      <w:r>
        <w:rPr>
          <w:szCs w:val="24"/>
          <w:lang w:val="en-GB"/>
        </w:rPr>
        <w:t>, in: SEE │ EU Cluster of Excellence in European and International Law (ed.), South Eastern Europe and the European Union - Legal Implications (Verlag Alma Mater, Saarbrücken 2016), S. 131 – 142 (zusammen mit Desirée C. Schmitt)</w:t>
      </w:r>
    </w:p>
    <w:p w:rsidR="00471870" w:rsidRDefault="00471870" w:rsidP="00471870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GB"/>
        </w:rPr>
      </w:pPr>
    </w:p>
    <w:p w:rsidR="00471870" w:rsidRDefault="00471870" w:rsidP="00471870">
      <w:pPr>
        <w:pStyle w:val="Textkrper2"/>
        <w:tabs>
          <w:tab w:val="left" w:pos="567"/>
          <w:tab w:val="left" w:pos="1134"/>
        </w:tabs>
        <w:spacing w:after="120"/>
        <w:jc w:val="left"/>
        <w:rPr>
          <w:bCs/>
          <w:iCs/>
          <w:szCs w:val="24"/>
          <w:lang w:val="en-US"/>
        </w:rPr>
      </w:pPr>
      <w:r>
        <w:rPr>
          <w:szCs w:val="24"/>
          <w:lang w:val="en-GB"/>
        </w:rPr>
        <w:tab/>
        <w:t>116)</w:t>
      </w:r>
      <w:r>
        <w:rPr>
          <w:szCs w:val="24"/>
          <w:lang w:val="en-GB"/>
        </w:rPr>
        <w:tab/>
      </w:r>
      <w:r w:rsidRPr="004D27FD">
        <w:rPr>
          <w:szCs w:val="24"/>
          <w:lang w:val="en-GB"/>
        </w:rPr>
        <w:t>How to Reconcile the Forces of Enlargement and Consolidation in “an Ever Clo</w:t>
      </w:r>
      <w:r w:rsidRPr="004D27FD">
        <w:rPr>
          <w:szCs w:val="24"/>
          <w:lang w:val="en-GB"/>
        </w:rPr>
        <w:t>s</w:t>
      </w:r>
      <w:r w:rsidRPr="004D27FD">
        <w:rPr>
          <w:szCs w:val="24"/>
          <w:lang w:val="en-GB"/>
        </w:rPr>
        <w:t>er Union”</w:t>
      </w:r>
      <w:r>
        <w:rPr>
          <w:szCs w:val="24"/>
          <w:lang w:val="en-GB"/>
        </w:rPr>
        <w:t xml:space="preserve">, in: Thomas Giegerich/Desirée Schmitt/Sebastian Zeitzmann (eds.), Flexibility in </w:t>
      </w:r>
      <w:r>
        <w:rPr>
          <w:szCs w:val="24"/>
          <w:lang w:val="en-GB"/>
        </w:rPr>
        <w:lastRenderedPageBreak/>
        <w:t xml:space="preserve">the EU and Beyond: </w:t>
      </w:r>
      <w:r w:rsidRPr="00671C0E">
        <w:rPr>
          <w:bCs/>
          <w:iCs/>
          <w:szCs w:val="24"/>
          <w:lang w:val="en-US"/>
        </w:rPr>
        <w:t>How much D</w:t>
      </w:r>
      <w:r>
        <w:rPr>
          <w:bCs/>
          <w:iCs/>
          <w:szCs w:val="24"/>
          <w:lang w:val="en-US"/>
        </w:rPr>
        <w:t>ifferentiation and Flexibility C</w:t>
      </w:r>
      <w:r w:rsidRPr="00671C0E">
        <w:rPr>
          <w:bCs/>
          <w:iCs/>
          <w:szCs w:val="24"/>
          <w:lang w:val="en-US"/>
        </w:rPr>
        <w:t xml:space="preserve">an European Integration Bear? </w:t>
      </w:r>
      <w:r w:rsidRPr="00941B09">
        <w:rPr>
          <w:bCs/>
          <w:iCs/>
          <w:szCs w:val="24"/>
          <w:lang w:val="en-US"/>
        </w:rPr>
        <w:t>(Nomos 2017)</w:t>
      </w:r>
      <w:r>
        <w:rPr>
          <w:bCs/>
          <w:iCs/>
          <w:szCs w:val="24"/>
          <w:lang w:val="en-US"/>
        </w:rPr>
        <w:t>, S. 17 – 57</w:t>
      </w:r>
    </w:p>
    <w:p w:rsidR="00471870" w:rsidRDefault="00471870" w:rsidP="00471870">
      <w:pPr>
        <w:pStyle w:val="Textkrper2"/>
        <w:tabs>
          <w:tab w:val="left" w:pos="567"/>
          <w:tab w:val="left" w:pos="1134"/>
        </w:tabs>
        <w:spacing w:after="120"/>
        <w:jc w:val="left"/>
        <w:rPr>
          <w:bCs/>
          <w:iCs/>
          <w:szCs w:val="24"/>
          <w:lang w:val="en-US"/>
        </w:rPr>
      </w:pPr>
    </w:p>
    <w:p w:rsidR="00471870" w:rsidRDefault="00471870" w:rsidP="00471870">
      <w:pPr>
        <w:pStyle w:val="Textkrper2"/>
        <w:tabs>
          <w:tab w:val="left" w:pos="567"/>
          <w:tab w:val="left" w:pos="1134"/>
        </w:tabs>
        <w:spacing w:after="120"/>
        <w:jc w:val="left"/>
        <w:rPr>
          <w:bCs/>
          <w:iCs/>
          <w:szCs w:val="24"/>
        </w:rPr>
      </w:pPr>
      <w:r>
        <w:rPr>
          <w:bCs/>
          <w:iCs/>
          <w:szCs w:val="24"/>
          <w:lang w:val="en-US"/>
        </w:rPr>
        <w:tab/>
        <w:t>117)</w:t>
      </w:r>
      <w:r>
        <w:rPr>
          <w:bCs/>
          <w:iCs/>
          <w:szCs w:val="24"/>
          <w:lang w:val="en-US"/>
        </w:rPr>
        <w:tab/>
        <w:t xml:space="preserve">Preface, </w:t>
      </w:r>
      <w:r>
        <w:rPr>
          <w:szCs w:val="24"/>
          <w:lang w:val="en-GB"/>
        </w:rPr>
        <w:t>in: Thomas Giegerich/Desirée Schmitt/Sebastian Zeitzmann (eds.), Flex</w:t>
      </w:r>
      <w:r>
        <w:rPr>
          <w:szCs w:val="24"/>
          <w:lang w:val="en-GB"/>
        </w:rPr>
        <w:t>i</w:t>
      </w:r>
      <w:r>
        <w:rPr>
          <w:szCs w:val="24"/>
          <w:lang w:val="en-GB"/>
        </w:rPr>
        <w:t xml:space="preserve">bility in the EU and Beyond: </w:t>
      </w:r>
      <w:r w:rsidRPr="00671C0E">
        <w:rPr>
          <w:bCs/>
          <w:iCs/>
          <w:szCs w:val="24"/>
          <w:lang w:val="en-US"/>
        </w:rPr>
        <w:t>How much D</w:t>
      </w:r>
      <w:r>
        <w:rPr>
          <w:bCs/>
          <w:iCs/>
          <w:szCs w:val="24"/>
          <w:lang w:val="en-US"/>
        </w:rPr>
        <w:t>ifferentiation and Flexibility C</w:t>
      </w:r>
      <w:r w:rsidRPr="00671C0E">
        <w:rPr>
          <w:bCs/>
          <w:iCs/>
          <w:szCs w:val="24"/>
          <w:lang w:val="en-US"/>
        </w:rPr>
        <w:t>an European Integr</w:t>
      </w:r>
      <w:r w:rsidRPr="00671C0E">
        <w:rPr>
          <w:bCs/>
          <w:iCs/>
          <w:szCs w:val="24"/>
          <w:lang w:val="en-US"/>
        </w:rPr>
        <w:t>a</w:t>
      </w:r>
      <w:r w:rsidRPr="00671C0E">
        <w:rPr>
          <w:bCs/>
          <w:iCs/>
          <w:szCs w:val="24"/>
          <w:lang w:val="en-US"/>
        </w:rPr>
        <w:t xml:space="preserve">tion Bear? </w:t>
      </w:r>
      <w:r w:rsidRPr="0086172D">
        <w:rPr>
          <w:bCs/>
          <w:iCs/>
          <w:szCs w:val="24"/>
        </w:rPr>
        <w:t>(Nomos 2017), S. 5</w:t>
      </w:r>
      <w:r>
        <w:rPr>
          <w:bCs/>
          <w:iCs/>
          <w:szCs w:val="24"/>
        </w:rPr>
        <w:t xml:space="preserve"> – 6 (zusammen mit Desirée C. Schmitt und Sebastian Zeit</w:t>
      </w:r>
      <w:r>
        <w:rPr>
          <w:bCs/>
          <w:iCs/>
          <w:szCs w:val="24"/>
        </w:rPr>
        <w:t>z</w:t>
      </w:r>
      <w:r>
        <w:rPr>
          <w:bCs/>
          <w:iCs/>
          <w:szCs w:val="24"/>
        </w:rPr>
        <w:t>mann)</w:t>
      </w:r>
    </w:p>
    <w:p w:rsidR="00471870" w:rsidRDefault="00471870" w:rsidP="00471870">
      <w:pPr>
        <w:pStyle w:val="Textkrper2"/>
        <w:tabs>
          <w:tab w:val="left" w:pos="567"/>
          <w:tab w:val="left" w:pos="1134"/>
        </w:tabs>
        <w:spacing w:after="120"/>
        <w:jc w:val="left"/>
        <w:rPr>
          <w:bCs/>
          <w:iCs/>
          <w:szCs w:val="24"/>
        </w:rPr>
      </w:pPr>
    </w:p>
    <w:p w:rsidR="00471870" w:rsidRDefault="00471870" w:rsidP="00471870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  <w:r>
        <w:rPr>
          <w:bCs/>
          <w:iCs/>
          <w:szCs w:val="24"/>
        </w:rPr>
        <w:tab/>
        <w:t>118)</w:t>
      </w:r>
      <w:r>
        <w:rPr>
          <w:bCs/>
          <w:iCs/>
          <w:szCs w:val="24"/>
        </w:rPr>
        <w:tab/>
      </w:r>
      <w:r>
        <w:rPr>
          <w:szCs w:val="24"/>
        </w:rPr>
        <w:t>Examensklausur im Schwerpunktbereich Völker- und Europarecht, JURA 2017, S. 439 – 448</w:t>
      </w:r>
    </w:p>
    <w:p w:rsidR="00471870" w:rsidRDefault="00471870" w:rsidP="00471870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</w:p>
    <w:p w:rsidR="00471870" w:rsidRPr="008762FE" w:rsidRDefault="00471870" w:rsidP="00471870">
      <w:pPr>
        <w:pStyle w:val="Textkrper2"/>
        <w:tabs>
          <w:tab w:val="left" w:pos="567"/>
          <w:tab w:val="left" w:pos="1134"/>
        </w:tabs>
        <w:spacing w:after="120"/>
        <w:jc w:val="left"/>
        <w:rPr>
          <w:bCs/>
          <w:iCs/>
          <w:szCs w:val="24"/>
          <w:lang w:val="en-GB"/>
        </w:rPr>
      </w:pPr>
      <w:r w:rsidRPr="00E87A92">
        <w:tab/>
      </w:r>
      <w:r w:rsidRPr="00F456D5">
        <w:rPr>
          <w:lang w:val="en-GB"/>
        </w:rPr>
        <w:t>119</w:t>
      </w:r>
      <w:r>
        <w:rPr>
          <w:lang w:val="en-GB"/>
        </w:rPr>
        <w:t>)</w:t>
      </w:r>
      <w:r>
        <w:rPr>
          <w:lang w:val="en-GB"/>
        </w:rPr>
        <w:tab/>
        <w:t>Anti-d</w:t>
      </w:r>
      <w:r w:rsidRPr="00F456D5">
        <w:rPr>
          <w:lang w:val="en-GB"/>
        </w:rPr>
        <w:t>iscrimination Policy, in: Stefanie Schmahl/Marten Breuer (eds.), The Cou</w:t>
      </w:r>
      <w:r w:rsidRPr="00F456D5">
        <w:rPr>
          <w:lang w:val="en-GB"/>
        </w:rPr>
        <w:t>n</w:t>
      </w:r>
      <w:r w:rsidRPr="00F456D5">
        <w:rPr>
          <w:lang w:val="en-GB"/>
        </w:rPr>
        <w:t>cil of Europe: Its Law and Policies (Oxford University Press 2017)</w:t>
      </w:r>
      <w:r>
        <w:rPr>
          <w:lang w:val="en-GB"/>
        </w:rPr>
        <w:t>, S. 589 – 616</w:t>
      </w:r>
      <w:r w:rsidRPr="00F456D5">
        <w:rPr>
          <w:lang w:val="en-GB"/>
        </w:rPr>
        <w:t xml:space="preserve"> (zusammen mit Sara Jötten)</w:t>
      </w:r>
    </w:p>
    <w:p w:rsidR="00471870" w:rsidRDefault="00471870" w:rsidP="00471870">
      <w:pPr>
        <w:pStyle w:val="Textkrper2"/>
        <w:tabs>
          <w:tab w:val="left" w:pos="567"/>
          <w:tab w:val="left" w:pos="1134"/>
        </w:tabs>
        <w:spacing w:after="120"/>
        <w:jc w:val="left"/>
        <w:rPr>
          <w:lang w:val="en-GB"/>
        </w:rPr>
      </w:pPr>
    </w:p>
    <w:p w:rsidR="00471870" w:rsidRDefault="00471870" w:rsidP="00471870">
      <w:pPr>
        <w:pStyle w:val="Fuzeile"/>
        <w:tabs>
          <w:tab w:val="clear" w:pos="4536"/>
          <w:tab w:val="clear" w:pos="9072"/>
          <w:tab w:val="left" w:pos="567"/>
          <w:tab w:val="left" w:pos="1134"/>
        </w:tabs>
        <w:spacing w:after="120"/>
        <w:rPr>
          <w:sz w:val="24"/>
          <w:szCs w:val="24"/>
        </w:rPr>
      </w:pPr>
      <w:r w:rsidRPr="00AC5BB9">
        <w:rPr>
          <w:sz w:val="24"/>
          <w:szCs w:val="24"/>
          <w:lang w:val="en-GB"/>
        </w:rPr>
        <w:tab/>
      </w:r>
      <w:r>
        <w:rPr>
          <w:sz w:val="24"/>
          <w:szCs w:val="24"/>
        </w:rPr>
        <w:t>120)</w:t>
      </w:r>
      <w:r>
        <w:rPr>
          <w:sz w:val="24"/>
          <w:szCs w:val="24"/>
        </w:rPr>
        <w:tab/>
      </w:r>
      <w:r w:rsidRPr="00B173E6">
        <w:rPr>
          <w:sz w:val="24"/>
          <w:szCs w:val="24"/>
        </w:rPr>
        <w:t xml:space="preserve">Art. 216, 218, 220, 221 </w:t>
      </w:r>
      <w:r>
        <w:rPr>
          <w:sz w:val="24"/>
          <w:szCs w:val="24"/>
        </w:rPr>
        <w:t xml:space="preserve">AEUV </w:t>
      </w:r>
      <w:r w:rsidRPr="00B173E6">
        <w:rPr>
          <w:sz w:val="24"/>
          <w:szCs w:val="24"/>
        </w:rPr>
        <w:t xml:space="preserve">und (zusammen mit Dagmar Richter) Art. </w:t>
      </w:r>
      <w:r>
        <w:rPr>
          <w:sz w:val="24"/>
          <w:szCs w:val="24"/>
        </w:rPr>
        <w:t>351 AEUV, in: Matthias Pechstein u.a. (Hrsg.), Frankfurter Kommentar zu EUV, GRC und AEUV, Bd. IV (Mohr Siebeck 2017), S. 1 – 96 (Art. 216 AEUV); S. 132 – 210 (Art. 218 AEUV); S. 225 – 254 (Art. 220 AEUV); S. 255 – 266 (Art. 221 AEUV); S. 1545 – 1581 (Art. 351 AEUV)</w:t>
      </w:r>
    </w:p>
    <w:p w:rsidR="00471870" w:rsidRDefault="00471870" w:rsidP="00471870">
      <w:pPr>
        <w:pStyle w:val="Textkrper2"/>
        <w:tabs>
          <w:tab w:val="left" w:pos="567"/>
          <w:tab w:val="left" w:pos="1134"/>
        </w:tabs>
        <w:spacing w:after="120"/>
        <w:jc w:val="left"/>
      </w:pPr>
    </w:p>
    <w:p w:rsidR="00471870" w:rsidRPr="00AC5BB9" w:rsidRDefault="00471870" w:rsidP="00471870">
      <w:pPr>
        <w:tabs>
          <w:tab w:val="left" w:pos="567"/>
          <w:tab w:val="left" w:pos="1134"/>
        </w:tabs>
        <w:spacing w:after="120"/>
        <w:rPr>
          <w:sz w:val="24"/>
          <w:szCs w:val="24"/>
        </w:rPr>
      </w:pPr>
      <w:r>
        <w:tab/>
      </w:r>
      <w:r>
        <w:rPr>
          <w:sz w:val="24"/>
          <w:szCs w:val="24"/>
        </w:rPr>
        <w:t>121</w:t>
      </w:r>
      <w:r w:rsidRPr="00AC5BB9">
        <w:rPr>
          <w:sz w:val="24"/>
          <w:szCs w:val="24"/>
        </w:rPr>
        <w:t>)</w:t>
      </w:r>
      <w:r w:rsidRPr="00AC5BB9">
        <w:rPr>
          <w:sz w:val="24"/>
          <w:szCs w:val="24"/>
        </w:rPr>
        <w:tab/>
      </w:r>
      <w:r>
        <w:rPr>
          <w:sz w:val="24"/>
          <w:szCs w:val="24"/>
        </w:rPr>
        <w:t>„</w:t>
      </w:r>
      <w:r w:rsidRPr="00AC5BB9">
        <w:rPr>
          <w:sz w:val="24"/>
          <w:szCs w:val="24"/>
        </w:rPr>
        <w:t>Wir müssen eine Art Vereinigte Staaten von Europa errichten</w:t>
      </w:r>
      <w:r>
        <w:rPr>
          <w:sz w:val="24"/>
          <w:szCs w:val="24"/>
        </w:rPr>
        <w:t>“</w:t>
      </w:r>
      <w:r w:rsidRPr="00AC5BB9">
        <w:rPr>
          <w:sz w:val="24"/>
          <w:szCs w:val="24"/>
        </w:rPr>
        <w:t>,</w:t>
      </w:r>
      <w:r>
        <w:rPr>
          <w:sz w:val="24"/>
          <w:szCs w:val="24"/>
        </w:rPr>
        <w:t xml:space="preserve"> NJW-aktuell 27/2017, S. 15</w:t>
      </w:r>
    </w:p>
    <w:p w:rsidR="00471870" w:rsidRDefault="00471870" w:rsidP="00471870">
      <w:pPr>
        <w:pStyle w:val="Textkrper2"/>
        <w:tabs>
          <w:tab w:val="left" w:pos="567"/>
          <w:tab w:val="left" w:pos="1134"/>
        </w:tabs>
        <w:spacing w:after="120"/>
        <w:jc w:val="left"/>
      </w:pPr>
    </w:p>
    <w:p w:rsidR="00471870" w:rsidRPr="00DD2FE2" w:rsidRDefault="00471870" w:rsidP="00471870">
      <w:pPr>
        <w:pStyle w:val="Textkrper2"/>
        <w:tabs>
          <w:tab w:val="left" w:pos="567"/>
          <w:tab w:val="left" w:pos="1134"/>
          <w:tab w:val="left" w:pos="1418"/>
        </w:tabs>
        <w:spacing w:after="120"/>
        <w:jc w:val="left"/>
        <w:rPr>
          <w:lang w:val="en-GB"/>
        </w:rPr>
      </w:pPr>
      <w:r>
        <w:rPr>
          <w:szCs w:val="24"/>
        </w:rPr>
        <w:tab/>
        <w:t>122)</w:t>
      </w:r>
      <w:r>
        <w:rPr>
          <w:szCs w:val="24"/>
        </w:rPr>
        <w:tab/>
      </w:r>
      <w:r w:rsidRPr="0037195E">
        <w:rPr>
          <w:szCs w:val="24"/>
        </w:rPr>
        <w:t>Der Blankoscheck des Bundesverfassungsgerichts für den gesetzgeberischen Tre</w:t>
      </w:r>
      <w:r w:rsidRPr="0037195E">
        <w:rPr>
          <w:szCs w:val="24"/>
        </w:rPr>
        <w:t>a</w:t>
      </w:r>
      <w:r w:rsidRPr="0037195E">
        <w:rPr>
          <w:szCs w:val="24"/>
        </w:rPr>
        <w:t>ty Override ist völkerrechtsunfreundlich</w:t>
      </w:r>
      <w:r>
        <w:rPr>
          <w:szCs w:val="24"/>
        </w:rPr>
        <w:t xml:space="preserve">, in: Stefan Lorenzmeier/Hans-Peter Folz (Hrsg.), Recht und Realität. </w:t>
      </w:r>
      <w:r w:rsidRPr="00DD2FE2">
        <w:rPr>
          <w:szCs w:val="24"/>
          <w:lang w:val="en-GB"/>
        </w:rPr>
        <w:t>Festschrift für Christoph Vedder (Nomos 2017), S. 640 – 667 (vgl. III.21)</w:t>
      </w:r>
    </w:p>
    <w:p w:rsidR="00471870" w:rsidRPr="00DD2FE2" w:rsidRDefault="00471870" w:rsidP="00471870">
      <w:pPr>
        <w:pStyle w:val="Textkrper2"/>
        <w:tabs>
          <w:tab w:val="left" w:pos="567"/>
          <w:tab w:val="left" w:pos="1134"/>
        </w:tabs>
        <w:spacing w:after="120"/>
        <w:jc w:val="left"/>
        <w:rPr>
          <w:lang w:val="en-GB"/>
        </w:rPr>
      </w:pPr>
    </w:p>
    <w:p w:rsidR="00471870" w:rsidRDefault="00471870" w:rsidP="00471870">
      <w:pPr>
        <w:tabs>
          <w:tab w:val="left" w:pos="567"/>
          <w:tab w:val="left" w:pos="1134"/>
        </w:tabs>
        <w:spacing w:after="120"/>
        <w:rPr>
          <w:sz w:val="24"/>
          <w:szCs w:val="24"/>
          <w:lang w:val="en-US"/>
        </w:rPr>
      </w:pPr>
      <w:r w:rsidRPr="00DD2FE2">
        <w:rPr>
          <w:lang w:val="en-GB"/>
        </w:rPr>
        <w:tab/>
      </w:r>
      <w:r>
        <w:rPr>
          <w:sz w:val="24"/>
          <w:szCs w:val="24"/>
          <w:lang w:val="en-US"/>
        </w:rPr>
        <w:t>123</w:t>
      </w:r>
      <w:r w:rsidRPr="00614C79">
        <w:rPr>
          <w:sz w:val="24"/>
          <w:szCs w:val="24"/>
          <w:lang w:val="en-US"/>
        </w:rPr>
        <w:t>)</w:t>
      </w:r>
      <w:r w:rsidRPr="00614C79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In Germany International Law M</w:t>
      </w:r>
      <w:r w:rsidRPr="00614C79">
        <w:rPr>
          <w:sz w:val="24"/>
          <w:szCs w:val="24"/>
          <w:lang w:val="en-US"/>
        </w:rPr>
        <w:t>ay Be Honoured in the Breach: The Federal Co</w:t>
      </w:r>
      <w:r w:rsidRPr="00614C79">
        <w:rPr>
          <w:sz w:val="24"/>
          <w:szCs w:val="24"/>
          <w:lang w:val="en-US"/>
        </w:rPr>
        <w:t>n</w:t>
      </w:r>
      <w:r w:rsidRPr="00614C79">
        <w:rPr>
          <w:sz w:val="24"/>
          <w:szCs w:val="24"/>
          <w:lang w:val="en-US"/>
        </w:rPr>
        <w:t xml:space="preserve">stitutional Court Gives the Legislature </w:t>
      </w:r>
      <w:r w:rsidRPr="00614C79">
        <w:rPr>
          <w:i/>
          <w:sz w:val="24"/>
          <w:szCs w:val="24"/>
          <w:lang w:val="en-US"/>
        </w:rPr>
        <w:t>Carte Blanche</w:t>
      </w:r>
      <w:r w:rsidRPr="00614C79">
        <w:rPr>
          <w:sz w:val="24"/>
          <w:szCs w:val="24"/>
          <w:lang w:val="en-US"/>
        </w:rPr>
        <w:t xml:space="preserve"> to Override Treaties</w:t>
      </w:r>
      <w:r>
        <w:rPr>
          <w:sz w:val="24"/>
          <w:szCs w:val="24"/>
          <w:lang w:val="en-US"/>
        </w:rPr>
        <w:t>, German Yearbook of International Law Vol. 59 (2016), S. 469 – 498 (vgl. II.121 und III.21)</w:t>
      </w:r>
    </w:p>
    <w:p w:rsidR="00471870" w:rsidRDefault="00471870" w:rsidP="00471870">
      <w:pPr>
        <w:pStyle w:val="Textkrper2"/>
        <w:tabs>
          <w:tab w:val="left" w:pos="567"/>
          <w:tab w:val="left" w:pos="1134"/>
        </w:tabs>
        <w:spacing w:after="120"/>
        <w:jc w:val="left"/>
        <w:rPr>
          <w:lang w:val="en-US"/>
        </w:rPr>
      </w:pPr>
    </w:p>
    <w:p w:rsidR="00471870" w:rsidRDefault="00471870" w:rsidP="00471870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GB"/>
        </w:rPr>
      </w:pPr>
      <w:r>
        <w:rPr>
          <w:lang w:val="en-US"/>
        </w:rPr>
        <w:tab/>
        <w:t>124)</w:t>
      </w:r>
      <w:r>
        <w:rPr>
          <w:lang w:val="en-US"/>
        </w:rPr>
        <w:tab/>
      </w:r>
      <w:r w:rsidRPr="00952BBC">
        <w:rPr>
          <w:szCs w:val="24"/>
          <w:lang w:val="en-GB"/>
        </w:rPr>
        <w:t>Introduction: The European Union on Its Way to Becoming a Strategic Intern</w:t>
      </w:r>
      <w:r w:rsidRPr="00952BBC">
        <w:rPr>
          <w:szCs w:val="24"/>
          <w:lang w:val="en-GB"/>
        </w:rPr>
        <w:t>a</w:t>
      </w:r>
      <w:r w:rsidRPr="00952BBC">
        <w:rPr>
          <w:szCs w:val="24"/>
          <w:lang w:val="en-GB"/>
        </w:rPr>
        <w:t>tional Actor</w:t>
      </w:r>
      <w:r>
        <w:rPr>
          <w:szCs w:val="24"/>
          <w:lang w:val="en-GB"/>
        </w:rPr>
        <w:t>, ZEuS 20 (2017), S. 377 – 381 (zusammen mit Marc Bungenberg)</w:t>
      </w:r>
    </w:p>
    <w:p w:rsidR="00471870" w:rsidRDefault="00471870" w:rsidP="00471870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GB"/>
        </w:rPr>
      </w:pPr>
    </w:p>
    <w:p w:rsidR="00471870" w:rsidRDefault="00471870" w:rsidP="00E354B1">
      <w:pPr>
        <w:tabs>
          <w:tab w:val="left" w:pos="567"/>
          <w:tab w:val="left" w:pos="1134"/>
        </w:tabs>
        <w:spacing w:after="120"/>
        <w:rPr>
          <w:sz w:val="24"/>
          <w:szCs w:val="24"/>
          <w:lang w:val="en-GB"/>
        </w:rPr>
      </w:pPr>
      <w:r>
        <w:rPr>
          <w:szCs w:val="24"/>
          <w:lang w:val="en-GB"/>
        </w:rPr>
        <w:tab/>
      </w:r>
      <w:r>
        <w:rPr>
          <w:sz w:val="24"/>
          <w:szCs w:val="24"/>
          <w:lang w:val="en-GB"/>
        </w:rPr>
        <w:t>125)</w:t>
      </w:r>
      <w:r>
        <w:rPr>
          <w:sz w:val="24"/>
          <w:szCs w:val="24"/>
          <w:lang w:val="en-GB"/>
        </w:rPr>
        <w:tab/>
      </w:r>
      <w:r w:rsidRPr="00E87A92">
        <w:rPr>
          <w:sz w:val="24"/>
          <w:szCs w:val="24"/>
          <w:lang w:val="en-GB"/>
        </w:rPr>
        <w:t>What Kind of Global Actor Will the Member States Permit the EU to Be?,</w:t>
      </w:r>
      <w:r>
        <w:rPr>
          <w:sz w:val="24"/>
          <w:szCs w:val="24"/>
          <w:lang w:val="en-GB"/>
        </w:rPr>
        <w:t xml:space="preserve"> ZEuS 20 (2017), S. 397 – 420</w:t>
      </w:r>
    </w:p>
    <w:p w:rsidR="00471870" w:rsidRDefault="00471870" w:rsidP="00471870">
      <w:pPr>
        <w:tabs>
          <w:tab w:val="left" w:pos="567"/>
        </w:tabs>
        <w:spacing w:after="120"/>
        <w:rPr>
          <w:sz w:val="24"/>
          <w:szCs w:val="24"/>
          <w:lang w:val="en-GB"/>
        </w:rPr>
      </w:pPr>
    </w:p>
    <w:p w:rsidR="00E354B1" w:rsidRPr="00F60434" w:rsidRDefault="00E354B1" w:rsidP="00E354B1">
      <w:pPr>
        <w:tabs>
          <w:tab w:val="left" w:pos="567"/>
          <w:tab w:val="left" w:pos="1134"/>
        </w:tabs>
        <w:spacing w:after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Pr="00F60434">
        <w:rPr>
          <w:sz w:val="24"/>
          <w:szCs w:val="24"/>
          <w:lang w:val="en-GB"/>
        </w:rPr>
        <w:t>126)</w:t>
      </w:r>
      <w:r w:rsidRPr="00F60434">
        <w:rPr>
          <w:sz w:val="24"/>
          <w:szCs w:val="24"/>
          <w:lang w:val="en-GB"/>
        </w:rPr>
        <w:tab/>
        <w:t>Articles 54 – 63, in: Oliver Dörr and Kirsten Schmalenbach (eds), Vienna Co</w:t>
      </w:r>
      <w:r w:rsidRPr="00F60434">
        <w:rPr>
          <w:sz w:val="24"/>
          <w:szCs w:val="24"/>
          <w:lang w:val="en-GB"/>
        </w:rPr>
        <w:t>n</w:t>
      </w:r>
      <w:r w:rsidRPr="00F60434">
        <w:rPr>
          <w:sz w:val="24"/>
          <w:szCs w:val="24"/>
          <w:lang w:val="en-GB"/>
        </w:rPr>
        <w:t>vention on the Law of Treaties – A Commentary (Springer-Verlag</w:t>
      </w:r>
      <w:r>
        <w:rPr>
          <w:sz w:val="24"/>
          <w:szCs w:val="24"/>
          <w:lang w:val="en-GB"/>
        </w:rPr>
        <w:t>, 2</w:t>
      </w:r>
      <w:r w:rsidRPr="00F60434">
        <w:rPr>
          <w:sz w:val="24"/>
          <w:szCs w:val="24"/>
          <w:vertAlign w:val="superscript"/>
          <w:lang w:val="en-GB"/>
        </w:rPr>
        <w:t>nd</w:t>
      </w:r>
      <w:r>
        <w:rPr>
          <w:sz w:val="24"/>
          <w:szCs w:val="24"/>
          <w:lang w:val="en-GB"/>
        </w:rPr>
        <w:t xml:space="preserve"> edition 2018), S. 1015 – 1199</w:t>
      </w:r>
    </w:p>
    <w:p w:rsidR="00E354B1" w:rsidRPr="00F60434" w:rsidRDefault="00E354B1" w:rsidP="00E354B1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GB"/>
        </w:rPr>
      </w:pPr>
    </w:p>
    <w:p w:rsidR="00E354B1" w:rsidRDefault="00E354B1" w:rsidP="00E354B1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  <w:r w:rsidRPr="00D355C9">
        <w:rPr>
          <w:szCs w:val="24"/>
          <w:lang w:val="en-GB"/>
        </w:rPr>
        <w:tab/>
      </w:r>
      <w:r>
        <w:rPr>
          <w:szCs w:val="24"/>
        </w:rPr>
        <w:t>127</w:t>
      </w:r>
      <w:r w:rsidRPr="00383F71">
        <w:rPr>
          <w:szCs w:val="24"/>
        </w:rPr>
        <w:t>)</w:t>
      </w:r>
      <w:r w:rsidRPr="00383F71">
        <w:rPr>
          <w:szCs w:val="24"/>
        </w:rPr>
        <w:tab/>
        <w:t>Neue Entwicklungen zum Datenschutz im Recht der Europäischen Union, in: A</w:t>
      </w:r>
      <w:r w:rsidRPr="00383F71">
        <w:rPr>
          <w:szCs w:val="24"/>
        </w:rPr>
        <w:t>n</w:t>
      </w:r>
      <w:r w:rsidRPr="00383F71">
        <w:rPr>
          <w:szCs w:val="24"/>
        </w:rPr>
        <w:t>nemarie Matusche-Beckmann</w:t>
      </w:r>
      <w:r>
        <w:rPr>
          <w:szCs w:val="24"/>
        </w:rPr>
        <w:t>/Takuma Sato</w:t>
      </w:r>
      <w:r w:rsidRPr="00383F71">
        <w:rPr>
          <w:szCs w:val="24"/>
        </w:rPr>
        <w:t xml:space="preserve"> (Hrsg.),</w:t>
      </w:r>
      <w:r>
        <w:rPr>
          <w:szCs w:val="24"/>
        </w:rPr>
        <w:t xml:space="preserve"> Rechtsprobleme der Informationsgesel</w:t>
      </w:r>
      <w:r>
        <w:rPr>
          <w:szCs w:val="24"/>
        </w:rPr>
        <w:t>l</w:t>
      </w:r>
      <w:r>
        <w:rPr>
          <w:szCs w:val="24"/>
        </w:rPr>
        <w:t>schaft – Japanisch-Deutscher Rechtsdialog (Verlag Alma Mater Saarbrücken 2018), S. 163 – 178</w:t>
      </w:r>
    </w:p>
    <w:p w:rsidR="00E354B1" w:rsidRDefault="00E354B1" w:rsidP="00E354B1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</w:p>
    <w:p w:rsidR="00E354B1" w:rsidRDefault="00E354B1" w:rsidP="00E354B1">
      <w:pPr>
        <w:tabs>
          <w:tab w:val="left" w:pos="567"/>
          <w:tab w:val="left" w:pos="1134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128</w:t>
      </w:r>
      <w:r w:rsidRPr="007342C9">
        <w:rPr>
          <w:sz w:val="24"/>
          <w:szCs w:val="24"/>
        </w:rPr>
        <w:t>)</w:t>
      </w:r>
      <w:r w:rsidRPr="007342C9">
        <w:rPr>
          <w:sz w:val="24"/>
          <w:szCs w:val="24"/>
        </w:rPr>
        <w:tab/>
        <w:t>Kann ein Gewerbebetrieb Diskriminierungen gleichgeschlechtlicher Ehepaare mit der Meinungs- oder Religionsfreiheit rechtfertigen? – Ein Blick auf die USA, Deutschland, das Vereinigte Königreich und die EMRK</w:t>
      </w:r>
      <w:r>
        <w:rPr>
          <w:sz w:val="24"/>
          <w:szCs w:val="24"/>
        </w:rPr>
        <w:t>, in: Burkhard Hess/Erik Jayme/Heinz-Peter Mansel (Hrsg.), Europa als Rechts- und Lebensraum. Liber amicorum für Christian Kohler (Verlag Ernst und Werner Gieseking 2018), S. 119 – 135</w:t>
      </w:r>
    </w:p>
    <w:p w:rsidR="00E354B1" w:rsidRDefault="00E354B1" w:rsidP="00E354B1">
      <w:pPr>
        <w:tabs>
          <w:tab w:val="left" w:pos="567"/>
          <w:tab w:val="left" w:pos="1134"/>
        </w:tabs>
        <w:spacing w:after="120"/>
        <w:jc w:val="both"/>
        <w:rPr>
          <w:sz w:val="24"/>
          <w:szCs w:val="24"/>
        </w:rPr>
      </w:pPr>
    </w:p>
    <w:p w:rsidR="00E354B1" w:rsidRDefault="00E354B1" w:rsidP="00E354B1">
      <w:pPr>
        <w:tabs>
          <w:tab w:val="left" w:pos="567"/>
          <w:tab w:val="left" w:pos="1134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129)</w:t>
      </w:r>
      <w:r>
        <w:rPr>
          <w:sz w:val="24"/>
          <w:szCs w:val="24"/>
        </w:rPr>
        <w:tab/>
        <w:t>Die Verflechtungsfalle des Europawahlrechts: Nationale Ratifikationen des geä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derten </w:t>
      </w:r>
      <w:r w:rsidRPr="00554747">
        <w:rPr>
          <w:sz w:val="24"/>
          <w:szCs w:val="24"/>
        </w:rPr>
        <w:t>EU-</w:t>
      </w:r>
      <w:r>
        <w:rPr>
          <w:sz w:val="24"/>
          <w:szCs w:val="24"/>
        </w:rPr>
        <w:t>Direktwahlakts mit obligatorischer Sperrklausel und ihre rechtlichen Hürden, ZEuS 21 (2018), S. 145 – 164</w:t>
      </w:r>
    </w:p>
    <w:p w:rsidR="00E354B1" w:rsidRDefault="00E354B1" w:rsidP="00E354B1">
      <w:pPr>
        <w:pStyle w:val="Textkrper2"/>
        <w:tabs>
          <w:tab w:val="left" w:pos="567"/>
          <w:tab w:val="left" w:pos="1134"/>
        </w:tabs>
        <w:spacing w:after="120"/>
        <w:jc w:val="left"/>
      </w:pPr>
    </w:p>
    <w:p w:rsidR="00E354B1" w:rsidRPr="008D3C67" w:rsidRDefault="00E354B1" w:rsidP="00E354B1">
      <w:pPr>
        <w:tabs>
          <w:tab w:val="left" w:pos="567"/>
          <w:tab w:val="left" w:pos="1134"/>
        </w:tabs>
        <w:spacing w:after="120"/>
        <w:jc w:val="both"/>
        <w:rPr>
          <w:sz w:val="24"/>
          <w:szCs w:val="24"/>
          <w:lang w:val="en-GB"/>
        </w:rPr>
      </w:pPr>
      <w:r w:rsidRPr="00A54463">
        <w:rPr>
          <w:sz w:val="24"/>
          <w:szCs w:val="24"/>
        </w:rPr>
        <w:tab/>
      </w:r>
      <w:r>
        <w:rPr>
          <w:sz w:val="24"/>
          <w:szCs w:val="24"/>
          <w:lang w:val="en-GB"/>
        </w:rPr>
        <w:t>130</w:t>
      </w:r>
      <w:r w:rsidRPr="008D3C67">
        <w:rPr>
          <w:sz w:val="24"/>
          <w:szCs w:val="24"/>
          <w:lang w:val="en-GB"/>
        </w:rPr>
        <w:t>)</w:t>
      </w:r>
      <w:r w:rsidRPr="008D3C67">
        <w:rPr>
          <w:sz w:val="24"/>
          <w:szCs w:val="24"/>
          <w:lang w:val="en-GB"/>
        </w:rPr>
        <w:tab/>
        <w:t>The Dispute about a Wedding Cake – Homosexuality v. Freedom of Expression and Religion in a Pluralistic Society</w:t>
      </w:r>
      <w:r>
        <w:rPr>
          <w:sz w:val="24"/>
          <w:szCs w:val="24"/>
          <w:lang w:val="en-GB"/>
        </w:rPr>
        <w:t>, ZEuS 21 (2018), S. 291 – 303</w:t>
      </w:r>
    </w:p>
    <w:p w:rsidR="00E354B1" w:rsidRDefault="00E354B1" w:rsidP="00E354B1">
      <w:pPr>
        <w:pStyle w:val="Textkrper2"/>
        <w:tabs>
          <w:tab w:val="left" w:pos="567"/>
          <w:tab w:val="left" w:pos="1134"/>
        </w:tabs>
        <w:spacing w:after="120"/>
        <w:jc w:val="left"/>
        <w:rPr>
          <w:lang w:val="en-GB"/>
        </w:rPr>
      </w:pPr>
    </w:p>
    <w:p w:rsidR="00E354B1" w:rsidRDefault="00E354B1" w:rsidP="00E354B1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GB"/>
        </w:rPr>
      </w:pPr>
      <w:r>
        <w:rPr>
          <w:lang w:val="en-GB"/>
        </w:rPr>
        <w:tab/>
      </w:r>
      <w:r>
        <w:rPr>
          <w:szCs w:val="24"/>
          <w:lang w:val="en-GB"/>
        </w:rPr>
        <w:t>131</w:t>
      </w:r>
      <w:r w:rsidRPr="00890503">
        <w:rPr>
          <w:szCs w:val="24"/>
          <w:lang w:val="en-GB"/>
        </w:rPr>
        <w:t>)</w:t>
      </w:r>
      <w:r w:rsidRPr="00890503">
        <w:rPr>
          <w:szCs w:val="24"/>
          <w:lang w:val="en-GB"/>
        </w:rPr>
        <w:tab/>
        <w:t>Transparency in the Selection of Constitutional Court Judges: Contextu</w:t>
      </w:r>
      <w:r>
        <w:rPr>
          <w:szCs w:val="24"/>
          <w:lang w:val="en-GB"/>
        </w:rPr>
        <w:t>alised Comparison between the USA</w:t>
      </w:r>
      <w:r w:rsidRPr="00890503">
        <w:rPr>
          <w:szCs w:val="24"/>
          <w:lang w:val="en-GB"/>
        </w:rPr>
        <w:t>, Germany and the European Courts in Luxembourg and Stra</w:t>
      </w:r>
      <w:r w:rsidRPr="00890503">
        <w:rPr>
          <w:szCs w:val="24"/>
          <w:lang w:val="en-GB"/>
        </w:rPr>
        <w:t>s</w:t>
      </w:r>
      <w:r w:rsidRPr="00890503">
        <w:rPr>
          <w:szCs w:val="24"/>
          <w:lang w:val="en-GB"/>
        </w:rPr>
        <w:t>bourg</w:t>
      </w:r>
      <w:r>
        <w:rPr>
          <w:szCs w:val="24"/>
          <w:lang w:val="en-GB"/>
        </w:rPr>
        <w:t>,</w:t>
      </w:r>
      <w:r w:rsidRPr="00890503">
        <w:rPr>
          <w:szCs w:val="24"/>
          <w:lang w:val="en-GB"/>
        </w:rPr>
        <w:t xml:space="preserve"> in: Burkhard Hess</w:t>
      </w:r>
      <w:r>
        <w:rPr>
          <w:szCs w:val="24"/>
          <w:lang w:val="en-GB"/>
        </w:rPr>
        <w:t>/Ana Koprivica Harvey</w:t>
      </w:r>
      <w:r w:rsidRPr="00890503">
        <w:rPr>
          <w:szCs w:val="24"/>
          <w:lang w:val="en-GB"/>
        </w:rPr>
        <w:t xml:space="preserve"> (ed</w:t>
      </w:r>
      <w:r>
        <w:rPr>
          <w:szCs w:val="24"/>
          <w:lang w:val="en-GB"/>
        </w:rPr>
        <w:t>s</w:t>
      </w:r>
      <w:r w:rsidRPr="00890503">
        <w:rPr>
          <w:szCs w:val="24"/>
          <w:lang w:val="en-GB"/>
        </w:rPr>
        <w:t>.), Open Justice</w:t>
      </w:r>
      <w:r>
        <w:rPr>
          <w:szCs w:val="24"/>
          <w:lang w:val="en-GB"/>
        </w:rPr>
        <w:t>: The Role of Courts in a Democratic Society</w:t>
      </w:r>
      <w:r w:rsidRPr="00890503">
        <w:rPr>
          <w:szCs w:val="24"/>
          <w:lang w:val="en-GB"/>
        </w:rPr>
        <w:t xml:space="preserve"> (</w:t>
      </w:r>
      <w:r>
        <w:rPr>
          <w:szCs w:val="24"/>
          <w:lang w:val="en-GB"/>
        </w:rPr>
        <w:t>Nomos 2019</w:t>
      </w:r>
      <w:r w:rsidRPr="00890503">
        <w:rPr>
          <w:szCs w:val="24"/>
          <w:lang w:val="en-GB"/>
        </w:rPr>
        <w:t>)</w:t>
      </w:r>
      <w:r>
        <w:rPr>
          <w:szCs w:val="24"/>
          <w:lang w:val="en-GB"/>
        </w:rPr>
        <w:t>, S. 143 – 175</w:t>
      </w:r>
    </w:p>
    <w:p w:rsidR="00E354B1" w:rsidRDefault="00E354B1" w:rsidP="00E354B1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GB"/>
        </w:rPr>
      </w:pPr>
    </w:p>
    <w:p w:rsidR="00E354B1" w:rsidRDefault="00E354B1" w:rsidP="00E354B1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  <w:r>
        <w:rPr>
          <w:szCs w:val="24"/>
          <w:lang w:val="en-GB"/>
        </w:rPr>
        <w:tab/>
      </w:r>
      <w:r w:rsidRPr="002E60EA">
        <w:rPr>
          <w:szCs w:val="24"/>
        </w:rPr>
        <w:t>132)</w:t>
      </w:r>
      <w:r w:rsidRPr="002E60EA">
        <w:rPr>
          <w:szCs w:val="24"/>
        </w:rPr>
        <w:tab/>
        <w:t>Europawahl 2019: Das Europäische Parlament ist zu wichtig, um es Europage</w:t>
      </w:r>
      <w:r w:rsidRPr="002E60EA">
        <w:rPr>
          <w:szCs w:val="24"/>
        </w:rPr>
        <w:t>g</w:t>
      </w:r>
      <w:r w:rsidRPr="002E60EA">
        <w:rPr>
          <w:szCs w:val="24"/>
        </w:rPr>
        <w:t xml:space="preserve">nern zu überlassen, </w:t>
      </w:r>
      <w:r>
        <w:rPr>
          <w:szCs w:val="24"/>
        </w:rPr>
        <w:t>Kompass (Die Zeitschrift des Katholischen Militärbischofs für die Deu</w:t>
      </w:r>
      <w:r>
        <w:rPr>
          <w:szCs w:val="24"/>
        </w:rPr>
        <w:t>t</w:t>
      </w:r>
      <w:r>
        <w:rPr>
          <w:szCs w:val="24"/>
        </w:rPr>
        <w:t xml:space="preserve">sche Bundeswehr) 04/19, </w:t>
      </w:r>
      <w:r w:rsidRPr="002E60EA">
        <w:rPr>
          <w:szCs w:val="24"/>
        </w:rPr>
        <w:t xml:space="preserve">S. </w:t>
      </w:r>
      <w:r>
        <w:rPr>
          <w:szCs w:val="24"/>
        </w:rPr>
        <w:t>5 – 8 (zusammen mit Katharina Koch)</w:t>
      </w:r>
    </w:p>
    <w:p w:rsidR="00E354B1" w:rsidRDefault="00E354B1" w:rsidP="00E354B1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</w:p>
    <w:p w:rsidR="00E354B1" w:rsidRDefault="00E354B1" w:rsidP="00E354B1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  <w:r>
        <w:rPr>
          <w:szCs w:val="24"/>
        </w:rPr>
        <w:tab/>
      </w:r>
      <w:r w:rsidRPr="00E915C3">
        <w:rPr>
          <w:szCs w:val="24"/>
          <w:lang w:val="en-GB"/>
        </w:rPr>
        <w:t>133)</w:t>
      </w:r>
      <w:r w:rsidRPr="00E915C3">
        <w:rPr>
          <w:szCs w:val="24"/>
          <w:lang w:val="en-GB"/>
        </w:rPr>
        <w:tab/>
        <w:t>Artic</w:t>
      </w:r>
      <w:r>
        <w:rPr>
          <w:szCs w:val="24"/>
          <w:lang w:val="en-GB"/>
        </w:rPr>
        <w:t xml:space="preserve">le </w:t>
      </w:r>
      <w:r w:rsidRPr="00E915C3">
        <w:rPr>
          <w:szCs w:val="24"/>
          <w:lang w:val="en-GB"/>
        </w:rPr>
        <w:t>36 UN Charter, in: Andreas Zimmermann/Christian Tams (eds.), The Sta</w:t>
      </w:r>
      <w:r w:rsidRPr="00E915C3">
        <w:rPr>
          <w:szCs w:val="24"/>
          <w:lang w:val="en-GB"/>
        </w:rPr>
        <w:t>t</w:t>
      </w:r>
      <w:r w:rsidRPr="00E915C3">
        <w:rPr>
          <w:szCs w:val="24"/>
          <w:lang w:val="en-GB"/>
        </w:rPr>
        <w:t xml:space="preserve">ute of the International Court of Justice – A Commentary (3 rd ed. </w:t>
      </w:r>
      <w:r>
        <w:rPr>
          <w:szCs w:val="24"/>
        </w:rPr>
        <w:t>OUP 2019</w:t>
      </w:r>
      <w:r w:rsidRPr="00E915C3">
        <w:rPr>
          <w:szCs w:val="24"/>
        </w:rPr>
        <w:t>)</w:t>
      </w:r>
      <w:r>
        <w:rPr>
          <w:szCs w:val="24"/>
        </w:rPr>
        <w:t>, S. 178 – 207</w:t>
      </w:r>
    </w:p>
    <w:p w:rsidR="00E354B1" w:rsidRDefault="00E354B1" w:rsidP="00E354B1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</w:p>
    <w:p w:rsidR="00E354B1" w:rsidRPr="00A64277" w:rsidRDefault="00E354B1" w:rsidP="00E354B1">
      <w:pPr>
        <w:tabs>
          <w:tab w:val="left" w:pos="567"/>
          <w:tab w:val="left" w:pos="1134"/>
        </w:tabs>
        <w:spacing w:after="120"/>
        <w:jc w:val="both"/>
        <w:rPr>
          <w:sz w:val="24"/>
          <w:szCs w:val="24"/>
        </w:rPr>
      </w:pPr>
      <w:r w:rsidRPr="00A64277">
        <w:rPr>
          <w:sz w:val="24"/>
          <w:szCs w:val="24"/>
        </w:rPr>
        <w:tab/>
        <w:t>134)</w:t>
      </w:r>
      <w:r w:rsidRPr="00A64277">
        <w:rPr>
          <w:sz w:val="24"/>
          <w:szCs w:val="24"/>
        </w:rPr>
        <w:tab/>
        <w:t>Die Unabhängigkeit der Gerichte als Strukturvorgabe der Unionsverfassung und ihr effektiver Schutz vor autoritären Versuchungen in den Mitgliedstaaten, ZEuS 22 (2019)</w:t>
      </w:r>
      <w:r>
        <w:rPr>
          <w:sz w:val="24"/>
          <w:szCs w:val="24"/>
        </w:rPr>
        <w:t>, S. 61 – 111</w:t>
      </w:r>
    </w:p>
    <w:p w:rsidR="00E354B1" w:rsidRDefault="00E354B1" w:rsidP="00E354B1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</w:p>
    <w:p w:rsidR="00E354B1" w:rsidRPr="00CA1566" w:rsidRDefault="00E354B1" w:rsidP="00E354B1">
      <w:pPr>
        <w:tabs>
          <w:tab w:val="left" w:pos="567"/>
          <w:tab w:val="left" w:pos="1134"/>
        </w:tabs>
        <w:spacing w:after="120"/>
        <w:rPr>
          <w:sz w:val="24"/>
          <w:szCs w:val="24"/>
          <w:lang w:val="en-GB" w:bidi="he-IL"/>
        </w:rPr>
      </w:pPr>
      <w:r>
        <w:rPr>
          <w:szCs w:val="24"/>
        </w:rPr>
        <w:tab/>
      </w:r>
      <w:r>
        <w:rPr>
          <w:sz w:val="24"/>
          <w:szCs w:val="24"/>
          <w:lang w:val="en-GB"/>
        </w:rPr>
        <w:t>135</w:t>
      </w:r>
      <w:r w:rsidRPr="00CA1566">
        <w:rPr>
          <w:sz w:val="24"/>
          <w:szCs w:val="24"/>
          <w:lang w:val="en-GB"/>
        </w:rPr>
        <w:t>)</w:t>
      </w:r>
      <w:r w:rsidRPr="00CA1566">
        <w:rPr>
          <w:sz w:val="24"/>
          <w:szCs w:val="24"/>
          <w:lang w:val="en-GB"/>
        </w:rPr>
        <w:tab/>
        <w:t>Challenges Arising for Schools from Claims to Freedom and Equality in a Plura</w:t>
      </w:r>
      <w:r w:rsidRPr="00CA1566">
        <w:rPr>
          <w:sz w:val="24"/>
          <w:szCs w:val="24"/>
          <w:lang w:val="en-GB"/>
        </w:rPr>
        <w:t>l</w:t>
      </w:r>
      <w:r>
        <w:rPr>
          <w:sz w:val="24"/>
          <w:szCs w:val="24"/>
          <w:lang w:val="en-GB"/>
        </w:rPr>
        <w:t xml:space="preserve">istic Society, in: SEE </w:t>
      </w:r>
      <w:r>
        <w:rPr>
          <w:sz w:val="24"/>
          <w:szCs w:val="24"/>
          <w:rtl/>
          <w:lang w:val="en-GB" w:bidi="he-IL"/>
        </w:rPr>
        <w:t>׀</w:t>
      </w:r>
      <w:r>
        <w:rPr>
          <w:sz w:val="24"/>
          <w:szCs w:val="24"/>
          <w:lang w:val="en-GB" w:bidi="he-IL"/>
        </w:rPr>
        <w:t xml:space="preserve"> EU Cluster of Excellence in European and International Law (ed.), South Eastern Europe and the European Union – Legal Challenges, Verlag Alma Mater 2019, S. 9 – 22</w:t>
      </w:r>
    </w:p>
    <w:p w:rsidR="00E354B1" w:rsidRPr="00E354B1" w:rsidRDefault="00E354B1" w:rsidP="00E354B1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GB"/>
        </w:rPr>
      </w:pPr>
    </w:p>
    <w:p w:rsidR="00E354B1" w:rsidRDefault="00E354B1" w:rsidP="00E354B1">
      <w:pPr>
        <w:tabs>
          <w:tab w:val="left" w:pos="567"/>
        </w:tabs>
        <w:spacing w:after="120"/>
        <w:rPr>
          <w:sz w:val="24"/>
          <w:szCs w:val="24"/>
          <w:lang w:val="en-GB"/>
        </w:rPr>
      </w:pPr>
      <w:r w:rsidRPr="00E354B1">
        <w:rPr>
          <w:bCs/>
          <w:sz w:val="24"/>
          <w:szCs w:val="24"/>
          <w:lang w:val="en-GB"/>
        </w:rPr>
        <w:tab/>
        <w:t>136)</w:t>
      </w:r>
      <w:r w:rsidRPr="00E354B1">
        <w:rPr>
          <w:bCs/>
          <w:sz w:val="24"/>
          <w:szCs w:val="24"/>
          <w:lang w:val="en-GB"/>
        </w:rPr>
        <w:tab/>
        <w:t xml:space="preserve">Can German Courts Effectively Enforce International Legal Limits on US Drone Strikes in Yemen?, </w:t>
      </w:r>
      <w:r w:rsidRPr="00E354B1">
        <w:rPr>
          <w:sz w:val="24"/>
          <w:szCs w:val="24"/>
          <w:lang w:val="en-GB"/>
        </w:rPr>
        <w:t>ZEuS 22 (2019), S. 601 – 624</w:t>
      </w:r>
    </w:p>
    <w:p w:rsidR="005D68CE" w:rsidRDefault="005D68CE" w:rsidP="00E354B1">
      <w:pPr>
        <w:tabs>
          <w:tab w:val="left" w:pos="567"/>
        </w:tabs>
        <w:spacing w:after="120"/>
        <w:rPr>
          <w:sz w:val="24"/>
          <w:szCs w:val="24"/>
          <w:lang w:val="en-GB"/>
        </w:rPr>
      </w:pPr>
    </w:p>
    <w:p w:rsidR="005D68CE" w:rsidRDefault="005D68CE" w:rsidP="005D68CE">
      <w:pPr>
        <w:tabs>
          <w:tab w:val="left" w:pos="567"/>
          <w:tab w:val="left" w:pos="1134"/>
        </w:tabs>
        <w:spacing w:after="120"/>
        <w:jc w:val="both"/>
        <w:rPr>
          <w:color w:val="00000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137</w:t>
      </w:r>
      <w:r w:rsidRPr="00C559C3">
        <w:rPr>
          <w:sz w:val="24"/>
          <w:szCs w:val="24"/>
          <w:lang w:val="en-GB"/>
        </w:rPr>
        <w:t>)</w:t>
      </w:r>
      <w:r w:rsidRPr="00C559C3">
        <w:rPr>
          <w:sz w:val="24"/>
          <w:szCs w:val="24"/>
          <w:lang w:val="en-GB"/>
        </w:rPr>
        <w:tab/>
        <w:t>Federalist and Antifederalist Forces in the Multilevel System of Human Rights Protection in Europe</w:t>
      </w:r>
      <w:r>
        <w:rPr>
          <w:sz w:val="24"/>
          <w:szCs w:val="24"/>
          <w:lang w:val="en-GB"/>
        </w:rPr>
        <w:t xml:space="preserve">, in: Charlotte Denizeau-Lahaye (ed.), L’idée fédérale européenne à la lumière du droit comparé, </w:t>
      </w:r>
      <w:r w:rsidRPr="00C559C3">
        <w:rPr>
          <w:color w:val="000000"/>
          <w:sz w:val="24"/>
          <w:szCs w:val="24"/>
          <w:lang w:val="en-GB"/>
        </w:rPr>
        <w:t xml:space="preserve">Éditions Panthéon-Assas </w:t>
      </w:r>
      <w:r>
        <w:rPr>
          <w:color w:val="000000"/>
          <w:sz w:val="24"/>
          <w:szCs w:val="24"/>
          <w:lang w:val="en-GB"/>
        </w:rPr>
        <w:t>2019, S. 185 – 209</w:t>
      </w:r>
    </w:p>
    <w:p w:rsidR="005D68CE" w:rsidRPr="00CA1566" w:rsidRDefault="005D68CE" w:rsidP="005D68CE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GB"/>
        </w:rPr>
      </w:pPr>
    </w:p>
    <w:p w:rsidR="005D68CE" w:rsidRDefault="005D68CE" w:rsidP="005D68CE">
      <w:pPr>
        <w:tabs>
          <w:tab w:val="left" w:pos="567"/>
          <w:tab w:val="left" w:pos="1134"/>
        </w:tabs>
        <w:spacing w:after="120"/>
        <w:jc w:val="both"/>
        <w:rPr>
          <w:sz w:val="24"/>
          <w:szCs w:val="24"/>
        </w:rPr>
      </w:pPr>
      <w:r>
        <w:rPr>
          <w:lang w:val="en-GB"/>
        </w:rPr>
        <w:tab/>
      </w:r>
      <w:r>
        <w:rPr>
          <w:sz w:val="24"/>
          <w:szCs w:val="24"/>
        </w:rPr>
        <w:t>138</w:t>
      </w:r>
      <w:r w:rsidRPr="00530C0A">
        <w:rPr>
          <w:sz w:val="24"/>
          <w:szCs w:val="24"/>
        </w:rPr>
        <w:t>)</w:t>
      </w:r>
      <w:r w:rsidRPr="00530C0A">
        <w:rPr>
          <w:sz w:val="24"/>
          <w:szCs w:val="24"/>
        </w:rPr>
        <w:tab/>
        <w:t>Völker- und europarechtliche Perspektiven auf Flucht</w:t>
      </w:r>
      <w:r>
        <w:rPr>
          <w:sz w:val="24"/>
          <w:szCs w:val="24"/>
        </w:rPr>
        <w:t>, in: Patricia Oster/Christoph Vatter (Hrsg.), Fluchtraum Europa, Nomos 2020, S. 69 – 96</w:t>
      </w:r>
    </w:p>
    <w:p w:rsidR="005D68CE" w:rsidRDefault="005D68CE" w:rsidP="005D68CE">
      <w:pPr>
        <w:tabs>
          <w:tab w:val="left" w:pos="567"/>
          <w:tab w:val="left" w:pos="1134"/>
        </w:tabs>
        <w:spacing w:after="120"/>
        <w:jc w:val="both"/>
        <w:rPr>
          <w:sz w:val="24"/>
          <w:szCs w:val="24"/>
        </w:rPr>
      </w:pPr>
    </w:p>
    <w:p w:rsidR="005D68CE" w:rsidRDefault="005D68CE" w:rsidP="005D68CE">
      <w:pPr>
        <w:tabs>
          <w:tab w:val="left" w:pos="567"/>
          <w:tab w:val="left" w:pos="1134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139)</w:t>
      </w:r>
      <w:r>
        <w:rPr>
          <w:sz w:val="24"/>
          <w:szCs w:val="24"/>
        </w:rPr>
        <w:tab/>
      </w:r>
      <w:r w:rsidRPr="00980FF3">
        <w:rPr>
          <w:bCs/>
          <w:sz w:val="24"/>
          <w:szCs w:val="24"/>
        </w:rPr>
        <w:t>Art. 16 Abs. 2 GG, in: Maunz/D</w:t>
      </w:r>
      <w:r>
        <w:rPr>
          <w:bCs/>
          <w:sz w:val="24"/>
          <w:szCs w:val="24"/>
        </w:rPr>
        <w:t>ürig, Grundgesetz (90. Ergänzungslieferung Fe</w:t>
      </w:r>
      <w:r>
        <w:rPr>
          <w:bCs/>
          <w:sz w:val="24"/>
          <w:szCs w:val="24"/>
        </w:rPr>
        <w:t>b</w:t>
      </w:r>
      <w:r>
        <w:rPr>
          <w:bCs/>
          <w:sz w:val="24"/>
          <w:szCs w:val="24"/>
        </w:rPr>
        <w:t>ruar 2020), 96 S.</w:t>
      </w:r>
    </w:p>
    <w:p w:rsidR="005D68CE" w:rsidRDefault="005D68CE" w:rsidP="005D68CE">
      <w:pPr>
        <w:tabs>
          <w:tab w:val="left" w:pos="567"/>
          <w:tab w:val="left" w:pos="1134"/>
        </w:tabs>
        <w:spacing w:after="120"/>
        <w:jc w:val="both"/>
        <w:rPr>
          <w:sz w:val="24"/>
          <w:szCs w:val="24"/>
        </w:rPr>
      </w:pPr>
    </w:p>
    <w:p w:rsidR="005D68CE" w:rsidRDefault="005D68CE" w:rsidP="005D68CE">
      <w:pPr>
        <w:tabs>
          <w:tab w:val="left" w:pos="567"/>
          <w:tab w:val="left" w:pos="1134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140)</w:t>
      </w:r>
      <w:r>
        <w:rPr>
          <w:sz w:val="24"/>
          <w:szCs w:val="24"/>
        </w:rPr>
        <w:tab/>
      </w:r>
      <w:r w:rsidRPr="00856B5B">
        <w:rPr>
          <w:sz w:val="24"/>
          <w:szCs w:val="24"/>
        </w:rPr>
        <w:t>BVerfG verzögert europäische Patentreform – Vorschläge zur Schadensbegre</w:t>
      </w:r>
      <w:r w:rsidRPr="00856B5B">
        <w:rPr>
          <w:sz w:val="24"/>
          <w:szCs w:val="24"/>
        </w:rPr>
        <w:t>n</w:t>
      </w:r>
      <w:r w:rsidRPr="00856B5B">
        <w:rPr>
          <w:sz w:val="24"/>
          <w:szCs w:val="24"/>
        </w:rPr>
        <w:t>zung, EuZW 2020</w:t>
      </w:r>
      <w:r>
        <w:rPr>
          <w:sz w:val="24"/>
          <w:szCs w:val="24"/>
        </w:rPr>
        <w:t>, 560 – 566</w:t>
      </w:r>
    </w:p>
    <w:p w:rsidR="005D68CE" w:rsidRDefault="005D68CE" w:rsidP="005D68CE">
      <w:pPr>
        <w:tabs>
          <w:tab w:val="left" w:pos="567"/>
          <w:tab w:val="left" w:pos="1134"/>
        </w:tabs>
        <w:spacing w:after="120"/>
        <w:jc w:val="both"/>
        <w:rPr>
          <w:sz w:val="24"/>
          <w:szCs w:val="24"/>
        </w:rPr>
      </w:pPr>
    </w:p>
    <w:p w:rsidR="005D68CE" w:rsidRPr="0087584C" w:rsidRDefault="005D68CE" w:rsidP="005D68CE">
      <w:pPr>
        <w:tabs>
          <w:tab w:val="left" w:pos="567"/>
          <w:tab w:val="left" w:pos="1134"/>
        </w:tabs>
        <w:spacing w:after="120"/>
        <w:jc w:val="both"/>
        <w:rPr>
          <w:sz w:val="24"/>
          <w:szCs w:val="24"/>
          <w:lang w:val="en-GB"/>
        </w:rPr>
      </w:pPr>
      <w:r>
        <w:rPr>
          <w:sz w:val="24"/>
          <w:szCs w:val="24"/>
        </w:rPr>
        <w:tab/>
        <w:t>141</w:t>
      </w:r>
      <w:r w:rsidRPr="001005C7">
        <w:rPr>
          <w:sz w:val="24"/>
          <w:szCs w:val="24"/>
        </w:rPr>
        <w:t>)</w:t>
      </w:r>
      <w:r w:rsidRPr="001005C7">
        <w:rPr>
          <w:sz w:val="24"/>
          <w:szCs w:val="24"/>
        </w:rPr>
        <w:tab/>
      </w:r>
      <w:r w:rsidRPr="008F4F81">
        <w:rPr>
          <w:sz w:val="24"/>
          <w:szCs w:val="24"/>
        </w:rPr>
        <w:t>Unionsbürgerschaft, politische Rechte,</w:t>
      </w:r>
      <w:r>
        <w:rPr>
          <w:sz w:val="24"/>
          <w:szCs w:val="24"/>
        </w:rPr>
        <w:t xml:space="preserve"> in: Schulze, Reiner/Janssen, André</w:t>
      </w:r>
      <w:r w:rsidRPr="008F4F81">
        <w:rPr>
          <w:sz w:val="24"/>
          <w:szCs w:val="24"/>
        </w:rPr>
        <w:t>/Kadelbach, Stefan (Hrsg.), Europarecht – Handbuch für die deutsche Re</w:t>
      </w:r>
      <w:r>
        <w:rPr>
          <w:sz w:val="24"/>
          <w:szCs w:val="24"/>
        </w:rPr>
        <w:t>chtspraxis, 4</w:t>
      </w:r>
      <w:r w:rsidRPr="008F4F81">
        <w:rPr>
          <w:sz w:val="24"/>
          <w:szCs w:val="24"/>
        </w:rPr>
        <w:t xml:space="preserve">. </w:t>
      </w:r>
      <w:r w:rsidRPr="0087584C">
        <w:rPr>
          <w:sz w:val="24"/>
          <w:szCs w:val="24"/>
          <w:lang w:val="en-GB"/>
        </w:rPr>
        <w:t>Aufl. 2020, § 9 (S. 395 – 451)</w:t>
      </w:r>
    </w:p>
    <w:p w:rsidR="005D68CE" w:rsidRPr="0087584C" w:rsidRDefault="005D68CE" w:rsidP="005D68CE">
      <w:pPr>
        <w:pStyle w:val="Textkrper2"/>
        <w:tabs>
          <w:tab w:val="left" w:pos="567"/>
          <w:tab w:val="left" w:pos="1134"/>
        </w:tabs>
        <w:spacing w:after="120"/>
        <w:jc w:val="left"/>
        <w:rPr>
          <w:lang w:val="en-GB"/>
        </w:rPr>
      </w:pPr>
    </w:p>
    <w:p w:rsidR="005D68CE" w:rsidRDefault="005D68CE" w:rsidP="005D68CE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GB"/>
        </w:rPr>
      </w:pPr>
      <w:r w:rsidRPr="0087584C">
        <w:rPr>
          <w:lang w:val="en-GB"/>
        </w:rPr>
        <w:tab/>
      </w:r>
      <w:r>
        <w:rPr>
          <w:bCs/>
          <w:szCs w:val="24"/>
          <w:lang w:val="en-GB"/>
        </w:rPr>
        <w:t>142)</w:t>
      </w:r>
      <w:r>
        <w:rPr>
          <w:bCs/>
          <w:szCs w:val="24"/>
          <w:lang w:val="en-GB"/>
        </w:rPr>
        <w:tab/>
      </w:r>
      <w:r>
        <w:rPr>
          <w:szCs w:val="24"/>
          <w:lang w:val="en-GB"/>
        </w:rPr>
        <w:t>Introduction: Is the European Union a Credible Protagonist of Equality in Europe and the Wider World?, in: Thomas Giegerich (ed.), The European Union as Protector and Promoter of Equality, Springer Nature 2020, S. 1 – 10</w:t>
      </w:r>
    </w:p>
    <w:p w:rsidR="005D68CE" w:rsidRDefault="005D68CE" w:rsidP="005D68CE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  <w:lang w:val="en-GB"/>
        </w:rPr>
      </w:pPr>
    </w:p>
    <w:p w:rsidR="005D68CE" w:rsidRDefault="005D68CE" w:rsidP="005D68CE">
      <w:pPr>
        <w:pStyle w:val="Textkrper2"/>
        <w:tabs>
          <w:tab w:val="left" w:pos="567"/>
          <w:tab w:val="left" w:pos="1134"/>
        </w:tabs>
        <w:spacing w:after="120"/>
        <w:jc w:val="left"/>
        <w:rPr>
          <w:bCs/>
          <w:szCs w:val="24"/>
          <w:lang w:val="en-GB"/>
        </w:rPr>
      </w:pPr>
      <w:r>
        <w:rPr>
          <w:lang w:val="en-GB"/>
        </w:rPr>
        <w:tab/>
      </w:r>
      <w:r>
        <w:rPr>
          <w:szCs w:val="24"/>
          <w:lang w:val="en-GB"/>
        </w:rPr>
        <w:t>143</w:t>
      </w:r>
      <w:r w:rsidRPr="000823B0">
        <w:rPr>
          <w:szCs w:val="24"/>
          <w:lang w:val="en-GB"/>
        </w:rPr>
        <w:t>)</w:t>
      </w:r>
      <w:r w:rsidRPr="000823B0">
        <w:rPr>
          <w:szCs w:val="24"/>
          <w:lang w:val="en-GB"/>
        </w:rPr>
        <w:tab/>
      </w:r>
      <w:r>
        <w:rPr>
          <w:bCs/>
          <w:szCs w:val="24"/>
          <w:lang w:val="en-GB"/>
        </w:rPr>
        <w:t xml:space="preserve">The Political Dimensions of Equality in the European Union: </w:t>
      </w:r>
      <w:r w:rsidRPr="00BD3B68">
        <w:rPr>
          <w:bCs/>
          <w:szCs w:val="24"/>
          <w:lang w:val="en-GB"/>
        </w:rPr>
        <w:t>Equality of Union Citi</w:t>
      </w:r>
      <w:r>
        <w:rPr>
          <w:bCs/>
          <w:szCs w:val="24"/>
          <w:lang w:val="en-GB"/>
        </w:rPr>
        <w:t>zens and</w:t>
      </w:r>
      <w:r w:rsidRPr="00BD3B68">
        <w:rPr>
          <w:bCs/>
          <w:szCs w:val="24"/>
          <w:lang w:val="en-GB"/>
        </w:rPr>
        <w:t xml:space="preserve"> Equality of Member States</w:t>
      </w:r>
      <w:r>
        <w:rPr>
          <w:bCs/>
          <w:szCs w:val="24"/>
          <w:lang w:val="en-GB"/>
        </w:rPr>
        <w:t xml:space="preserve"> in a Supranational Representative Democracy, in: Thomas Giegerich (ed.), The European Union as Protector and Promoter of Equality, Springer Nature 2020, S. 45 – 95</w:t>
      </w:r>
    </w:p>
    <w:p w:rsidR="005D68CE" w:rsidRDefault="005D68CE" w:rsidP="005D68CE">
      <w:pPr>
        <w:pStyle w:val="Textkrper2"/>
        <w:tabs>
          <w:tab w:val="left" w:pos="567"/>
          <w:tab w:val="left" w:pos="1134"/>
        </w:tabs>
        <w:spacing w:after="120"/>
        <w:jc w:val="left"/>
        <w:rPr>
          <w:bCs/>
          <w:szCs w:val="24"/>
          <w:lang w:val="en-GB"/>
        </w:rPr>
      </w:pPr>
    </w:p>
    <w:p w:rsidR="005D68CE" w:rsidRDefault="005D68CE" w:rsidP="005D68CE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  <w:r>
        <w:rPr>
          <w:bCs/>
          <w:szCs w:val="24"/>
          <w:lang w:val="en-GB"/>
        </w:rPr>
        <w:tab/>
      </w:r>
      <w:r>
        <w:rPr>
          <w:szCs w:val="24"/>
        </w:rPr>
        <w:t>144</w:t>
      </w:r>
      <w:r w:rsidRPr="00A533FA">
        <w:rPr>
          <w:szCs w:val="24"/>
        </w:rPr>
        <w:t>)</w:t>
      </w:r>
      <w:r w:rsidRPr="00A533FA">
        <w:rPr>
          <w:szCs w:val="24"/>
        </w:rPr>
        <w:tab/>
        <w:t>Der Streit um die Hochzeitstorte – Homosexualität und Religionsfreiheit in der pluralistischen Gesellschaft</w:t>
      </w:r>
      <w:r>
        <w:rPr>
          <w:szCs w:val="24"/>
        </w:rPr>
        <w:t>, in: Annemarie Matusche-Beckmann/Takuma Sato (Hrsg.), Rechtsprobleme der Risikogesellschaft – Japanisch-Deutscher Rechtsdialog – Verlag Alma Mater, Saarbrücken 2020, S. 79 – 90 (s. Nr. 128 und Nr. 130)</w:t>
      </w:r>
    </w:p>
    <w:p w:rsidR="005D68CE" w:rsidRDefault="005D68CE" w:rsidP="005D68CE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</w:p>
    <w:p w:rsidR="005D68CE" w:rsidRDefault="005D68CE" w:rsidP="005D68CE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  <w:r>
        <w:rPr>
          <w:szCs w:val="24"/>
        </w:rPr>
        <w:tab/>
        <w:t>145)</w:t>
      </w:r>
      <w:r>
        <w:rPr>
          <w:szCs w:val="24"/>
        </w:rPr>
        <w:tab/>
        <w:t>Schutz vor autokratischen Offensiven, NJW-aktuell 51/2020, S. 14</w:t>
      </w:r>
    </w:p>
    <w:p w:rsidR="00BC32E8" w:rsidRDefault="00BC32E8" w:rsidP="005D68CE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</w:p>
    <w:p w:rsidR="00BC32E8" w:rsidRDefault="00BC32E8" w:rsidP="00BC32E8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  <w:r>
        <w:rPr>
          <w:szCs w:val="24"/>
        </w:rPr>
        <w:tab/>
        <w:t>146)</w:t>
      </w:r>
      <w:r>
        <w:rPr>
          <w:szCs w:val="24"/>
        </w:rPr>
        <w:tab/>
      </w:r>
      <w:r w:rsidRPr="003D7529">
        <w:rPr>
          <w:szCs w:val="24"/>
        </w:rPr>
        <w:t>Europäische Solidarität im Lichte des PSPP-Urteils des Bundesverfassungsg</w:t>
      </w:r>
      <w:r w:rsidRPr="003D7529">
        <w:rPr>
          <w:szCs w:val="24"/>
        </w:rPr>
        <w:t>e</w:t>
      </w:r>
      <w:r w:rsidRPr="003D7529">
        <w:rPr>
          <w:szCs w:val="24"/>
        </w:rPr>
        <w:t>richts</w:t>
      </w:r>
      <w:r>
        <w:rPr>
          <w:szCs w:val="24"/>
        </w:rPr>
        <w:t>, in: Peter Hilpold/Andreas Raffeiner/Walter Steinmair (Hrsg.), Rechtsstaatlichkeit, Grundrechte und Solidarität in Österreich und in Europa. Festgabe zum 85. Geburtstag von Professor Heinrich Neisser, einem europäischen Humanisten (Facultas-Verlag Wien 2021), S. 732 – 753</w:t>
      </w:r>
    </w:p>
    <w:p w:rsidR="00BC32E8" w:rsidRDefault="00BC32E8" w:rsidP="00BC32E8">
      <w:pPr>
        <w:pStyle w:val="Textkrper2"/>
        <w:tabs>
          <w:tab w:val="left" w:pos="567"/>
          <w:tab w:val="left" w:pos="1134"/>
        </w:tabs>
        <w:spacing w:after="120"/>
        <w:jc w:val="left"/>
        <w:rPr>
          <w:szCs w:val="24"/>
        </w:rPr>
      </w:pPr>
    </w:p>
    <w:p w:rsidR="00BC32E8" w:rsidRPr="00BC32E8" w:rsidRDefault="00BC32E8" w:rsidP="00BC32E8">
      <w:pPr>
        <w:pStyle w:val="Textkrper2"/>
        <w:tabs>
          <w:tab w:val="left" w:pos="567"/>
          <w:tab w:val="left" w:pos="1134"/>
        </w:tabs>
        <w:spacing w:after="120"/>
        <w:jc w:val="left"/>
        <w:rPr>
          <w:lang w:val="en-GB"/>
        </w:rPr>
      </w:pPr>
      <w:r>
        <w:rPr>
          <w:szCs w:val="24"/>
        </w:rPr>
        <w:lastRenderedPageBreak/>
        <w:tab/>
      </w:r>
      <w:r>
        <w:rPr>
          <w:bCs/>
          <w:szCs w:val="24"/>
          <w:lang w:val="en-GB"/>
        </w:rPr>
        <w:t>147</w:t>
      </w:r>
      <w:r w:rsidRPr="005251A8">
        <w:rPr>
          <w:bCs/>
          <w:szCs w:val="24"/>
          <w:lang w:val="en-GB"/>
        </w:rPr>
        <w:t>)</w:t>
      </w:r>
      <w:r w:rsidRPr="005251A8">
        <w:rPr>
          <w:bCs/>
          <w:szCs w:val="24"/>
          <w:lang w:val="en-GB"/>
        </w:rPr>
        <w:tab/>
      </w:r>
      <w:r>
        <w:rPr>
          <w:szCs w:val="24"/>
          <w:lang w:val="en-GB"/>
        </w:rPr>
        <w:t xml:space="preserve">Whither Treaty </w:t>
      </w:r>
      <w:r w:rsidRPr="00D51572">
        <w:rPr>
          <w:szCs w:val="24"/>
          <w:lang w:val="en-GB"/>
        </w:rPr>
        <w:t xml:space="preserve">Monitoring in the Council of </w:t>
      </w:r>
      <w:r>
        <w:rPr>
          <w:szCs w:val="24"/>
          <w:lang w:val="en-GB"/>
        </w:rPr>
        <w:t>Europe?, in: Stefan Kade</w:t>
      </w:r>
      <w:r>
        <w:rPr>
          <w:szCs w:val="24"/>
          <w:lang w:val="en-GB"/>
        </w:rPr>
        <w:t>l</w:t>
      </w:r>
      <w:r>
        <w:rPr>
          <w:szCs w:val="24"/>
          <w:lang w:val="en-GB"/>
        </w:rPr>
        <w:t>bach/Rainer Hofmann (eds.), 70 Years of Human Rights and the Rule of Law in Europe, N</w:t>
      </w:r>
      <w:r>
        <w:rPr>
          <w:szCs w:val="24"/>
          <w:lang w:val="en-GB"/>
        </w:rPr>
        <w:t>o</w:t>
      </w:r>
      <w:r>
        <w:rPr>
          <w:szCs w:val="24"/>
          <w:lang w:val="en-GB"/>
        </w:rPr>
        <w:t>mos 2021, S. 79 – 114</w:t>
      </w:r>
    </w:p>
    <w:p w:rsidR="005D68CE" w:rsidRPr="00BC32E8" w:rsidRDefault="005D68CE" w:rsidP="00E354B1">
      <w:pPr>
        <w:tabs>
          <w:tab w:val="left" w:pos="567"/>
        </w:tabs>
        <w:spacing w:after="120"/>
        <w:rPr>
          <w:sz w:val="24"/>
          <w:szCs w:val="24"/>
          <w:lang w:val="en-GB"/>
        </w:rPr>
      </w:pPr>
    </w:p>
    <w:p w:rsidR="00D3076A" w:rsidRDefault="00581CB9" w:rsidP="005A4AB3">
      <w:pPr>
        <w:pStyle w:val="berschrift1"/>
        <w:tabs>
          <w:tab w:val="left" w:pos="567"/>
        </w:tabs>
        <w:spacing w:after="120"/>
        <w:jc w:val="both"/>
      </w:pPr>
      <w:r w:rsidRPr="00B4152E">
        <w:br w:type="page"/>
      </w:r>
      <w:r w:rsidR="00D3076A">
        <w:lastRenderedPageBreak/>
        <w:t>III.</w:t>
      </w:r>
      <w:r w:rsidR="00D3076A">
        <w:tab/>
        <w:t>Elektronische Publikationen</w:t>
      </w:r>
    </w:p>
    <w:p w:rsidR="00D3076A" w:rsidRDefault="00D3076A" w:rsidP="005B49A1">
      <w:pPr>
        <w:spacing w:after="120"/>
        <w:rPr>
          <w:sz w:val="24"/>
        </w:rPr>
      </w:pPr>
    </w:p>
    <w:p w:rsidR="00D3076A" w:rsidRDefault="00721C74" w:rsidP="005B49A1">
      <w:pPr>
        <w:pStyle w:val="Textkrper"/>
        <w:tabs>
          <w:tab w:val="left" w:pos="567"/>
          <w:tab w:val="left" w:pos="1134"/>
        </w:tabs>
        <w:spacing w:after="120"/>
      </w:pPr>
      <w:r>
        <w:tab/>
      </w:r>
      <w:r w:rsidR="00BC32E8">
        <w:t>148</w:t>
      </w:r>
      <w:r w:rsidR="00D3076A">
        <w:t>)</w:t>
      </w:r>
      <w:r w:rsidR="00D3076A">
        <w:tab/>
        <w:t>„Kinder und Konsuln“ – Neues zur Todesstrafe in den USA, Hanse Law Review, Jahrgang/Volume 1, 2. Ausgabe/Number 2 (September 2005), S. 131 – 146 (ww</w:t>
      </w:r>
      <w:r w:rsidR="00AC4106">
        <w:t>w.hanselawreview.org</w:t>
      </w:r>
      <w:r w:rsidR="00D3076A">
        <w:t>)</w:t>
      </w:r>
    </w:p>
    <w:p w:rsidR="00811F7F" w:rsidRDefault="00811F7F" w:rsidP="005B49A1">
      <w:pPr>
        <w:pStyle w:val="Textkrper"/>
        <w:spacing w:after="120"/>
      </w:pPr>
    </w:p>
    <w:p w:rsidR="00811F7F" w:rsidRPr="007A5ECF" w:rsidRDefault="005A4AB3" w:rsidP="005B49A1">
      <w:pPr>
        <w:pStyle w:val="Textkrper"/>
        <w:tabs>
          <w:tab w:val="left" w:pos="567"/>
          <w:tab w:val="left" w:pos="1134"/>
        </w:tabs>
        <w:spacing w:after="120"/>
      </w:pPr>
      <w:r>
        <w:tab/>
      </w:r>
      <w:r w:rsidR="00BC32E8">
        <w:t>149</w:t>
      </w:r>
      <w:r w:rsidR="00811F7F">
        <w:t>)</w:t>
      </w:r>
      <w:r w:rsidR="00811F7F">
        <w:tab/>
        <w:t>Stellungnahme vom 15.5.2006 zum Entwurf eines Gesetzes über die Unterric</w:t>
      </w:r>
      <w:r w:rsidR="00811F7F">
        <w:t>h</w:t>
      </w:r>
      <w:r w:rsidR="00811F7F">
        <w:t>tung des Landtags durch die Landesregierung (Parlamentsinformationsgesetz – PIG) Drucks</w:t>
      </w:r>
      <w:r w:rsidR="00811F7F">
        <w:t>a</w:t>
      </w:r>
      <w:r w:rsidR="00811F7F">
        <w:t>che 16/657, Schleswig-Holsteinischer Landtag, Umdruck 16/825 (</w:t>
      </w:r>
      <w:bookmarkStart w:id="0" w:name="_GoBack"/>
      <w:r w:rsidR="00811F7F" w:rsidRPr="007A5ECF">
        <w:t>http:</w:t>
      </w:r>
      <w:bookmarkEnd w:id="0"/>
      <w:r w:rsidR="00811F7F" w:rsidRPr="007A5ECF">
        <w:t>//www.landtag.ltsh.de/infothek/wahl16/umdrucke/0800/umdruck-16-0825.pdf</w:t>
      </w:r>
      <w:r w:rsidR="00811F7F">
        <w:t>) (zusa</w:t>
      </w:r>
      <w:r w:rsidR="00811F7F">
        <w:t>m</w:t>
      </w:r>
      <w:r w:rsidR="00811F7F">
        <w:t>men mit Tilman Laubner)</w:t>
      </w:r>
    </w:p>
    <w:p w:rsidR="00811F7F" w:rsidRDefault="00811F7F" w:rsidP="005B49A1">
      <w:pPr>
        <w:pStyle w:val="Textkrper"/>
        <w:spacing w:after="120"/>
      </w:pPr>
    </w:p>
    <w:p w:rsidR="00811F7F" w:rsidRPr="00811F7F" w:rsidRDefault="00811F7F" w:rsidP="005B49A1">
      <w:pPr>
        <w:pStyle w:val="Textkrper"/>
        <w:tabs>
          <w:tab w:val="left" w:pos="567"/>
          <w:tab w:val="left" w:pos="1134"/>
        </w:tabs>
        <w:spacing w:after="120"/>
        <w:rPr>
          <w:lang w:val="en-GB"/>
        </w:rPr>
      </w:pPr>
      <w:r>
        <w:tab/>
      </w:r>
      <w:r w:rsidR="00BC32E8">
        <w:rPr>
          <w:lang w:val="en-US"/>
        </w:rPr>
        <w:t>150</w:t>
      </w:r>
      <w:r w:rsidRPr="000056E0">
        <w:rPr>
          <w:lang w:val="en-GB"/>
        </w:rPr>
        <w:t>)</w:t>
      </w:r>
      <w:r w:rsidRPr="000056E0">
        <w:rPr>
          <w:lang w:val="en-GB"/>
        </w:rPr>
        <w:tab/>
        <w:t>Treaties, Multilateral, Reservations to, in: Rüdiger Wolfrum (ed.), The Max Planck Encyclope</w:t>
      </w:r>
      <w:r>
        <w:rPr>
          <w:lang w:val="en-GB"/>
        </w:rPr>
        <w:t>dia of Public International Law</w:t>
      </w:r>
      <w:r w:rsidRPr="000056E0">
        <w:rPr>
          <w:lang w:val="en-GB"/>
        </w:rPr>
        <w:t xml:space="preserve"> </w:t>
      </w:r>
      <w:r>
        <w:rPr>
          <w:lang w:val="en-GB"/>
        </w:rPr>
        <w:t>(</w:t>
      </w:r>
      <w:r w:rsidRPr="000056E0">
        <w:rPr>
          <w:lang w:val="en-GB"/>
        </w:rPr>
        <w:t>Oxford University</w:t>
      </w:r>
      <w:r>
        <w:rPr>
          <w:lang w:val="en-GB"/>
        </w:rPr>
        <w:t xml:space="preserve"> Press 2008),</w:t>
      </w:r>
      <w:r w:rsidRPr="000056E0">
        <w:rPr>
          <w:lang w:val="en-GB"/>
        </w:rPr>
        <w:t xml:space="preserve"> on</w:t>
      </w:r>
      <w:r>
        <w:rPr>
          <w:lang w:val="en-GB"/>
        </w:rPr>
        <w:t>line ed</w:t>
      </w:r>
      <w:r>
        <w:rPr>
          <w:lang w:val="en-GB"/>
        </w:rPr>
        <w:t>i</w:t>
      </w:r>
      <w:r>
        <w:rPr>
          <w:lang w:val="en-GB"/>
        </w:rPr>
        <w:t>tion (www.mpepil.com)</w:t>
      </w:r>
    </w:p>
    <w:p w:rsidR="00285160" w:rsidRDefault="00285160" w:rsidP="005B49A1">
      <w:pPr>
        <w:spacing w:after="120"/>
        <w:rPr>
          <w:b/>
          <w:bCs/>
          <w:sz w:val="24"/>
          <w:lang w:val="en-GB"/>
        </w:rPr>
      </w:pPr>
    </w:p>
    <w:p w:rsidR="005B49A1" w:rsidRDefault="00CA37B6" w:rsidP="005B49A1">
      <w:pPr>
        <w:tabs>
          <w:tab w:val="left" w:pos="567"/>
          <w:tab w:val="left" w:pos="1134"/>
        </w:tabs>
        <w:spacing w:after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BC32E8">
        <w:rPr>
          <w:sz w:val="24"/>
          <w:szCs w:val="24"/>
          <w:lang w:val="en-GB"/>
        </w:rPr>
        <w:t>151</w:t>
      </w:r>
      <w:r w:rsidR="005B49A1">
        <w:rPr>
          <w:sz w:val="24"/>
          <w:szCs w:val="24"/>
          <w:lang w:val="en-GB"/>
        </w:rPr>
        <w:t>)</w:t>
      </w:r>
      <w:r w:rsidR="005B49A1">
        <w:rPr>
          <w:sz w:val="24"/>
          <w:szCs w:val="24"/>
          <w:lang w:val="en-GB"/>
        </w:rPr>
        <w:tab/>
        <w:t xml:space="preserve">The </w:t>
      </w:r>
      <w:r w:rsidR="005B49A1">
        <w:rPr>
          <w:i/>
          <w:iCs/>
          <w:sz w:val="24"/>
          <w:szCs w:val="24"/>
          <w:lang w:val="en-GB"/>
        </w:rPr>
        <w:t>Is</w:t>
      </w:r>
      <w:r w:rsidR="005B49A1">
        <w:rPr>
          <w:sz w:val="24"/>
          <w:szCs w:val="24"/>
          <w:lang w:val="en-GB"/>
        </w:rPr>
        <w:t xml:space="preserve"> and the </w:t>
      </w:r>
      <w:r w:rsidR="005B49A1">
        <w:rPr>
          <w:i/>
          <w:iCs/>
          <w:sz w:val="24"/>
          <w:szCs w:val="24"/>
          <w:lang w:val="en-GB"/>
        </w:rPr>
        <w:t>Ought</w:t>
      </w:r>
      <w:r w:rsidR="005B49A1">
        <w:rPr>
          <w:sz w:val="24"/>
          <w:szCs w:val="24"/>
          <w:lang w:val="en-GB"/>
        </w:rPr>
        <w:t xml:space="preserve"> of International Constitutionalism: How Far Have We Come on Habermas’s Road to a “Well-Considered Constitutionalization of International Law”?, German Law Journal Volume 10 No. 1 (</w:t>
      </w:r>
      <w:smartTag w:uri="urn:schemas-microsoft-com:office:smarttags" w:element="date">
        <w:smartTagPr>
          <w:attr w:name="Year" w:val="2009"/>
          <w:attr w:name="Day" w:val="1"/>
          <w:attr w:name="Month" w:val="1"/>
        </w:smartTagPr>
        <w:r w:rsidR="005B49A1">
          <w:rPr>
            <w:sz w:val="24"/>
            <w:szCs w:val="24"/>
            <w:lang w:val="en-GB"/>
          </w:rPr>
          <w:t>1 January 2009</w:t>
        </w:r>
      </w:smartTag>
      <w:r w:rsidR="005B49A1">
        <w:rPr>
          <w:sz w:val="24"/>
          <w:szCs w:val="24"/>
          <w:lang w:val="en-GB"/>
        </w:rPr>
        <w:t>), S. 31 – 62</w:t>
      </w:r>
    </w:p>
    <w:p w:rsidR="005B49A1" w:rsidRDefault="005B49A1" w:rsidP="005B49A1">
      <w:pPr>
        <w:spacing w:after="120"/>
        <w:rPr>
          <w:bCs/>
          <w:sz w:val="24"/>
          <w:lang w:val="en-GB"/>
        </w:rPr>
      </w:pPr>
    </w:p>
    <w:p w:rsidR="002C78BD" w:rsidRPr="005B49A1" w:rsidRDefault="00BC32E8" w:rsidP="005729C9">
      <w:pPr>
        <w:tabs>
          <w:tab w:val="left" w:pos="1134"/>
        </w:tabs>
        <w:spacing w:after="120"/>
        <w:ind w:firstLine="567"/>
        <w:rPr>
          <w:bCs/>
          <w:sz w:val="24"/>
          <w:lang w:val="en-GB"/>
        </w:rPr>
      </w:pPr>
      <w:r>
        <w:rPr>
          <w:sz w:val="24"/>
          <w:szCs w:val="24"/>
          <w:lang w:val="en-GB"/>
        </w:rPr>
        <w:t>152</w:t>
      </w:r>
      <w:r w:rsidR="002C78BD" w:rsidRPr="006A4CF7">
        <w:rPr>
          <w:sz w:val="24"/>
          <w:szCs w:val="24"/>
          <w:lang w:val="en-GB"/>
        </w:rPr>
        <w:t>)</w:t>
      </w:r>
      <w:r w:rsidR="002C78BD" w:rsidRPr="006A4CF7">
        <w:rPr>
          <w:sz w:val="24"/>
          <w:szCs w:val="24"/>
          <w:lang w:val="en-GB"/>
        </w:rPr>
        <w:tab/>
        <w:t xml:space="preserve">Peer-Based Assessment </w:t>
      </w:r>
      <w:smartTag w:uri="urn:schemas-microsoft-com:office:smarttags" w:element="City">
        <w:smartTag w:uri="urn:schemas-microsoft-com:office:smarttags" w:element="place">
          <w:r w:rsidR="002C78BD" w:rsidRPr="006A4CF7">
            <w:rPr>
              <w:sz w:val="24"/>
              <w:szCs w:val="24"/>
              <w:lang w:val="en-GB"/>
            </w:rPr>
            <w:t>Mission</w:t>
          </w:r>
        </w:smartTag>
      </w:smartTag>
      <w:r w:rsidR="002C78BD" w:rsidRPr="006A4CF7">
        <w:rPr>
          <w:sz w:val="24"/>
          <w:szCs w:val="24"/>
          <w:lang w:val="en-GB"/>
        </w:rPr>
        <w:t xml:space="preserve"> to </w:t>
      </w:r>
      <w:smartTag w:uri="urn:schemas-microsoft-com:office:smarttags" w:element="country-region">
        <w:smartTag w:uri="urn:schemas-microsoft-com:office:smarttags" w:element="place">
          <w:r w:rsidR="002C78BD" w:rsidRPr="006A4CF7">
            <w:rPr>
              <w:sz w:val="24"/>
              <w:szCs w:val="24"/>
              <w:lang w:val="en-GB"/>
            </w:rPr>
            <w:t>Turkey</w:t>
          </w:r>
        </w:smartTag>
      </w:smartTag>
      <w:r w:rsidR="002C78BD" w:rsidRPr="006A4CF7">
        <w:rPr>
          <w:sz w:val="24"/>
          <w:szCs w:val="24"/>
          <w:lang w:val="en-GB"/>
        </w:rPr>
        <w:t xml:space="preserve"> (17 – 21 November 2008): Reform of the Judiciary and Anti-Corruption – Report on</w:t>
      </w:r>
      <w:r w:rsidR="002C78BD">
        <w:rPr>
          <w:sz w:val="24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="002C78BD" w:rsidRPr="006A4CF7">
            <w:rPr>
              <w:sz w:val="24"/>
              <w:szCs w:val="24"/>
              <w:lang w:val="en-GB"/>
            </w:rPr>
            <w:t>Independence</w:t>
          </w:r>
        </w:smartTag>
      </w:smartTag>
      <w:r w:rsidR="002C78BD" w:rsidRPr="006A4CF7">
        <w:rPr>
          <w:sz w:val="24"/>
          <w:szCs w:val="24"/>
          <w:lang w:val="en-GB"/>
        </w:rPr>
        <w:t>, Impartiality and Administration of the Judiciary</w:t>
      </w:r>
      <w:r w:rsidR="002C78BD">
        <w:rPr>
          <w:sz w:val="24"/>
          <w:szCs w:val="24"/>
          <w:lang w:val="en-GB"/>
        </w:rPr>
        <w:t xml:space="preserve"> of </w:t>
      </w:r>
      <w:smartTag w:uri="urn:schemas-microsoft-com:office:smarttags" w:element="date">
        <w:smartTagPr>
          <w:attr w:name="Month" w:val="4"/>
          <w:attr w:name="Day" w:val="14"/>
          <w:attr w:name="Year" w:val="2009"/>
        </w:smartTagPr>
        <w:r w:rsidR="002C78BD">
          <w:rPr>
            <w:sz w:val="24"/>
            <w:szCs w:val="24"/>
            <w:lang w:val="en-GB"/>
          </w:rPr>
          <w:t>14 April 2009</w:t>
        </w:r>
      </w:smartTag>
      <w:r w:rsidR="002C78BD">
        <w:rPr>
          <w:sz w:val="24"/>
          <w:szCs w:val="24"/>
          <w:lang w:val="en-GB"/>
        </w:rPr>
        <w:t xml:space="preserve"> </w:t>
      </w:r>
      <w:r w:rsidR="00453BA2">
        <w:rPr>
          <w:sz w:val="24"/>
          <w:szCs w:val="24"/>
          <w:lang w:val="en-GB"/>
        </w:rPr>
        <w:t>(</w:t>
      </w:r>
      <w:r w:rsidR="00B4152E">
        <w:rPr>
          <w:sz w:val="24"/>
          <w:szCs w:val="24"/>
          <w:lang w:val="en-GB"/>
        </w:rPr>
        <w:t>https:</w:t>
      </w:r>
      <w:r w:rsidR="00453BA2" w:rsidRPr="00993F99">
        <w:rPr>
          <w:sz w:val="24"/>
          <w:szCs w:val="24"/>
          <w:lang w:val="en-GB"/>
        </w:rPr>
        <w:t>//jean-monnet-saar.eu/wp-content/uploads/2013/12/Report14042009_edited.pdf</w:t>
      </w:r>
      <w:r w:rsidR="00453BA2">
        <w:rPr>
          <w:sz w:val="24"/>
          <w:szCs w:val="24"/>
          <w:lang w:val="en-GB"/>
        </w:rPr>
        <w:t>)</w:t>
      </w:r>
    </w:p>
    <w:p w:rsidR="00285160" w:rsidRDefault="00285160" w:rsidP="005B49A1">
      <w:pPr>
        <w:spacing w:after="120"/>
        <w:rPr>
          <w:bCs/>
          <w:sz w:val="24"/>
          <w:lang w:val="en-GB"/>
        </w:rPr>
      </w:pPr>
    </w:p>
    <w:p w:rsidR="009F43FC" w:rsidRDefault="00BC32E8" w:rsidP="00CA37B6">
      <w:pPr>
        <w:tabs>
          <w:tab w:val="left" w:pos="1134"/>
        </w:tabs>
        <w:spacing w:after="120"/>
        <w:ind w:firstLine="567"/>
        <w:rPr>
          <w:bCs/>
          <w:sz w:val="24"/>
          <w:lang w:val="en-GB"/>
        </w:rPr>
      </w:pPr>
      <w:r>
        <w:rPr>
          <w:sz w:val="24"/>
          <w:szCs w:val="24"/>
          <w:lang w:val="en-GB"/>
        </w:rPr>
        <w:t>153</w:t>
      </w:r>
      <w:r w:rsidR="009F43FC" w:rsidRPr="008817E5">
        <w:rPr>
          <w:sz w:val="24"/>
          <w:szCs w:val="24"/>
          <w:lang w:val="en-GB"/>
        </w:rPr>
        <w:t>)</w:t>
      </w:r>
      <w:r w:rsidR="009F43FC" w:rsidRPr="008817E5">
        <w:rPr>
          <w:sz w:val="24"/>
          <w:szCs w:val="24"/>
          <w:lang w:val="en-GB"/>
        </w:rPr>
        <w:tab/>
        <w:t>Treaties, Multilateral, Reservations to, in: Rüdiger Wolfrum (ed.), The Max Planck Encyclopedia of Public International L</w:t>
      </w:r>
      <w:r w:rsidR="009F43FC">
        <w:rPr>
          <w:sz w:val="24"/>
          <w:szCs w:val="24"/>
          <w:lang w:val="en-GB"/>
        </w:rPr>
        <w:t>aw – Update October 2010 (Oxford University Press 2010</w:t>
      </w:r>
      <w:r w:rsidR="009F43FC" w:rsidRPr="008817E5">
        <w:rPr>
          <w:sz w:val="24"/>
          <w:szCs w:val="24"/>
          <w:lang w:val="en-GB"/>
        </w:rPr>
        <w:t xml:space="preserve">), </w:t>
      </w:r>
      <w:r w:rsidR="00594407">
        <w:rPr>
          <w:sz w:val="24"/>
          <w:szCs w:val="24"/>
          <w:lang w:val="en-GB"/>
        </w:rPr>
        <w:t>online edition (www.mpepil.com)</w:t>
      </w:r>
    </w:p>
    <w:p w:rsidR="00497F55" w:rsidRDefault="00497F55" w:rsidP="00497F55">
      <w:pPr>
        <w:spacing w:after="120"/>
        <w:rPr>
          <w:sz w:val="24"/>
          <w:szCs w:val="24"/>
          <w:lang w:val="en-GB"/>
        </w:rPr>
      </w:pPr>
    </w:p>
    <w:p w:rsidR="00497F55" w:rsidRDefault="00BC32E8" w:rsidP="00CA37B6">
      <w:pPr>
        <w:tabs>
          <w:tab w:val="left" w:pos="1134"/>
        </w:tabs>
        <w:spacing w:after="120"/>
        <w:ind w:firstLine="56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154</w:t>
      </w:r>
      <w:r w:rsidR="00497F55">
        <w:rPr>
          <w:sz w:val="24"/>
          <w:szCs w:val="24"/>
          <w:lang w:val="en-GB"/>
        </w:rPr>
        <w:t>)</w:t>
      </w:r>
      <w:r w:rsidR="00497F55">
        <w:rPr>
          <w:sz w:val="24"/>
          <w:szCs w:val="24"/>
          <w:lang w:val="en-GB"/>
        </w:rPr>
        <w:tab/>
        <w:t xml:space="preserve">Peer Review Mission to Turkey (17 – 21 January 2011) – Chapter 23: Judiciary and Fundamental Rights – Report on Independence, Impartiality and Administration of the Judiciary of 1 August 2011 </w:t>
      </w:r>
      <w:r w:rsidR="00EB7F98">
        <w:rPr>
          <w:sz w:val="24"/>
          <w:szCs w:val="24"/>
          <w:lang w:val="en-GB"/>
        </w:rPr>
        <w:t>(</w:t>
      </w:r>
      <w:r w:rsidR="00B4152E">
        <w:rPr>
          <w:sz w:val="24"/>
          <w:szCs w:val="24"/>
          <w:lang w:val="en-GB"/>
        </w:rPr>
        <w:t>https:</w:t>
      </w:r>
      <w:r w:rsidR="00EB7F98" w:rsidRPr="00EB7F98">
        <w:rPr>
          <w:sz w:val="24"/>
          <w:szCs w:val="24"/>
          <w:lang w:val="en-GB"/>
        </w:rPr>
        <w:t>//jean-monnet-saar.eu/wp-content/uploads/2013/12/Report01082011_edited.pdf</w:t>
      </w:r>
      <w:r w:rsidR="00EB7F98">
        <w:rPr>
          <w:sz w:val="24"/>
          <w:szCs w:val="24"/>
          <w:lang w:val="en-GB"/>
        </w:rPr>
        <w:t>)</w:t>
      </w:r>
    </w:p>
    <w:p w:rsidR="00497F55" w:rsidRDefault="00497F55" w:rsidP="00497F55">
      <w:pPr>
        <w:spacing w:after="120"/>
        <w:rPr>
          <w:sz w:val="24"/>
          <w:szCs w:val="24"/>
          <w:lang w:val="en-GB"/>
        </w:rPr>
      </w:pPr>
    </w:p>
    <w:p w:rsidR="00497F55" w:rsidRDefault="00BC32E8" w:rsidP="00CA37B6">
      <w:pPr>
        <w:tabs>
          <w:tab w:val="left" w:pos="1134"/>
        </w:tabs>
        <w:spacing w:after="120"/>
        <w:ind w:firstLine="56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155</w:t>
      </w:r>
      <w:r w:rsidR="00497F55">
        <w:rPr>
          <w:sz w:val="24"/>
          <w:szCs w:val="24"/>
          <w:lang w:val="en-GB"/>
        </w:rPr>
        <w:t>)</w:t>
      </w:r>
      <w:r w:rsidR="00497F55">
        <w:rPr>
          <w:sz w:val="24"/>
          <w:szCs w:val="24"/>
          <w:lang w:val="en-GB"/>
        </w:rPr>
        <w:tab/>
        <w:t xml:space="preserve">Foreign Relations Law, </w:t>
      </w:r>
      <w:r w:rsidR="00497F55" w:rsidRPr="008817E5">
        <w:rPr>
          <w:sz w:val="24"/>
          <w:szCs w:val="24"/>
          <w:lang w:val="en-GB"/>
        </w:rPr>
        <w:t>in: Rüdiger Wolfrum (ed.), The Max Planck Encyclopedia of Public International L</w:t>
      </w:r>
      <w:r w:rsidR="00497F55">
        <w:rPr>
          <w:sz w:val="24"/>
          <w:szCs w:val="24"/>
          <w:lang w:val="en-GB"/>
        </w:rPr>
        <w:t>aw (Oxford University Press 2011</w:t>
      </w:r>
      <w:r w:rsidR="00497F55" w:rsidRPr="008817E5">
        <w:rPr>
          <w:sz w:val="24"/>
          <w:szCs w:val="24"/>
          <w:lang w:val="en-GB"/>
        </w:rPr>
        <w:t>), online edition (www.mpepil.com)</w:t>
      </w:r>
    </w:p>
    <w:p w:rsidR="00497F55" w:rsidRDefault="00497F55" w:rsidP="00497F55">
      <w:pPr>
        <w:spacing w:after="120"/>
        <w:rPr>
          <w:sz w:val="24"/>
          <w:szCs w:val="24"/>
          <w:lang w:val="en-GB"/>
        </w:rPr>
      </w:pPr>
    </w:p>
    <w:p w:rsidR="009F43FC" w:rsidRDefault="00BC32E8" w:rsidP="00CA37B6">
      <w:pPr>
        <w:tabs>
          <w:tab w:val="left" w:pos="1134"/>
        </w:tabs>
        <w:spacing w:after="120"/>
        <w:ind w:firstLine="56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156</w:t>
      </w:r>
      <w:r w:rsidR="00497F55">
        <w:rPr>
          <w:sz w:val="24"/>
          <w:szCs w:val="24"/>
          <w:lang w:val="en-GB"/>
        </w:rPr>
        <w:t>)</w:t>
      </w:r>
      <w:r w:rsidR="00497F55">
        <w:rPr>
          <w:sz w:val="24"/>
          <w:szCs w:val="24"/>
          <w:lang w:val="en-GB"/>
        </w:rPr>
        <w:tab/>
        <w:t xml:space="preserve">Retorsion, </w:t>
      </w:r>
      <w:r w:rsidR="00497F55" w:rsidRPr="008817E5">
        <w:rPr>
          <w:sz w:val="24"/>
          <w:szCs w:val="24"/>
          <w:lang w:val="en-GB"/>
        </w:rPr>
        <w:t>in: Rüdiger Wolfrum (ed.), The Max Planck Encyclopedia of Public I</w:t>
      </w:r>
      <w:r w:rsidR="00497F55" w:rsidRPr="008817E5">
        <w:rPr>
          <w:sz w:val="24"/>
          <w:szCs w:val="24"/>
          <w:lang w:val="en-GB"/>
        </w:rPr>
        <w:t>n</w:t>
      </w:r>
      <w:r w:rsidR="00497F55" w:rsidRPr="008817E5">
        <w:rPr>
          <w:sz w:val="24"/>
          <w:szCs w:val="24"/>
          <w:lang w:val="en-GB"/>
        </w:rPr>
        <w:t>ternational L</w:t>
      </w:r>
      <w:r w:rsidR="00497F55">
        <w:rPr>
          <w:sz w:val="24"/>
          <w:szCs w:val="24"/>
          <w:lang w:val="en-GB"/>
        </w:rPr>
        <w:t>aw (Oxford University Press 2011</w:t>
      </w:r>
      <w:r w:rsidR="00497F55" w:rsidRPr="008817E5">
        <w:rPr>
          <w:sz w:val="24"/>
          <w:szCs w:val="24"/>
          <w:lang w:val="en-GB"/>
        </w:rPr>
        <w:t>), online edition (www.mpepil.com)</w:t>
      </w:r>
    </w:p>
    <w:p w:rsidR="005A4AB3" w:rsidRDefault="005A4AB3" w:rsidP="00CA37B6">
      <w:pPr>
        <w:tabs>
          <w:tab w:val="left" w:pos="1134"/>
        </w:tabs>
        <w:spacing w:after="120"/>
        <w:ind w:firstLine="567"/>
        <w:rPr>
          <w:sz w:val="24"/>
          <w:szCs w:val="24"/>
          <w:lang w:val="en-GB"/>
        </w:rPr>
      </w:pPr>
    </w:p>
    <w:p w:rsidR="00E02BEE" w:rsidRDefault="00BC32E8" w:rsidP="00CA37B6">
      <w:pPr>
        <w:tabs>
          <w:tab w:val="left" w:pos="1134"/>
        </w:tabs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157</w:t>
      </w:r>
      <w:r w:rsidR="00E02BEE" w:rsidRPr="00E02BEE">
        <w:rPr>
          <w:sz w:val="24"/>
          <w:szCs w:val="24"/>
        </w:rPr>
        <w:t>)</w:t>
      </w:r>
      <w:r w:rsidR="00E02BEE" w:rsidRPr="00E02BEE">
        <w:rPr>
          <w:sz w:val="24"/>
          <w:szCs w:val="24"/>
        </w:rPr>
        <w:tab/>
        <w:t>Stellungnahme auf der 6. Sitzung des Dialogforums Feste Fehmarnbeltquerung am 20.9.2012 in Oldenburg/Holstein</w:t>
      </w:r>
      <w:r w:rsidR="00E02BEE">
        <w:rPr>
          <w:sz w:val="24"/>
          <w:szCs w:val="24"/>
        </w:rPr>
        <w:t xml:space="preserve"> </w:t>
      </w:r>
      <w:r w:rsidR="00EB7F98">
        <w:rPr>
          <w:sz w:val="24"/>
          <w:szCs w:val="24"/>
        </w:rPr>
        <w:t>(</w:t>
      </w:r>
      <w:r w:rsidR="00EB7F98" w:rsidRPr="009A5C39">
        <w:rPr>
          <w:sz w:val="24"/>
          <w:szCs w:val="24"/>
        </w:rPr>
        <w:t>http://www.fehmarnbelt-dialogf</w:t>
      </w:r>
      <w:r w:rsidR="00EB7F98" w:rsidRPr="009A5C39">
        <w:rPr>
          <w:sz w:val="24"/>
          <w:szCs w:val="24"/>
        </w:rPr>
        <w:t>o</w:t>
      </w:r>
      <w:r w:rsidR="00EB7F98" w:rsidRPr="009A5C39">
        <w:rPr>
          <w:sz w:val="24"/>
          <w:szCs w:val="24"/>
        </w:rPr>
        <w:t>rum.de/sites/default/files/media/Kommentar%20Prof.%20Giegerich%20Staatsvertrag.pdf</w:t>
      </w:r>
      <w:r w:rsidR="00EB7F98">
        <w:rPr>
          <w:sz w:val="24"/>
          <w:szCs w:val="24"/>
        </w:rPr>
        <w:t>)</w:t>
      </w:r>
    </w:p>
    <w:p w:rsidR="005A4AB3" w:rsidRDefault="005A4AB3" w:rsidP="00CA37B6">
      <w:pPr>
        <w:tabs>
          <w:tab w:val="left" w:pos="1134"/>
        </w:tabs>
        <w:spacing w:after="120"/>
        <w:ind w:firstLine="567"/>
        <w:rPr>
          <w:sz w:val="24"/>
          <w:szCs w:val="24"/>
        </w:rPr>
      </w:pPr>
    </w:p>
    <w:p w:rsidR="005A4AB3" w:rsidRDefault="00BC32E8" w:rsidP="00CA37B6">
      <w:pPr>
        <w:tabs>
          <w:tab w:val="left" w:pos="1134"/>
        </w:tabs>
        <w:spacing w:after="120"/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158</w:t>
      </w:r>
      <w:r w:rsidR="005A4AB3" w:rsidRPr="00133BEA">
        <w:rPr>
          <w:sz w:val="24"/>
          <w:szCs w:val="24"/>
          <w:lang w:val="en-US"/>
        </w:rPr>
        <w:t>)</w:t>
      </w:r>
      <w:r w:rsidR="005A4AB3" w:rsidRPr="00133BEA">
        <w:rPr>
          <w:sz w:val="24"/>
          <w:szCs w:val="24"/>
          <w:lang w:val="en-US"/>
        </w:rPr>
        <w:tab/>
      </w:r>
      <w:r w:rsidR="005A4AB3" w:rsidRPr="00133BEA">
        <w:rPr>
          <w:sz w:val="24"/>
          <w:szCs w:val="24"/>
          <w:lang w:val="en-GB"/>
        </w:rPr>
        <w:t>Peer Review Mission to Turkey (25 – 27 April 2012) – Chapter 23: Judiciary and Fundamental Rights</w:t>
      </w:r>
      <w:r w:rsidR="005A4AB3">
        <w:rPr>
          <w:sz w:val="24"/>
          <w:szCs w:val="24"/>
          <w:lang w:val="en-GB"/>
        </w:rPr>
        <w:t xml:space="preserve"> – </w:t>
      </w:r>
      <w:r w:rsidR="005A4AB3" w:rsidRPr="00133BEA">
        <w:rPr>
          <w:sz w:val="24"/>
          <w:szCs w:val="24"/>
          <w:lang w:val="en-GB"/>
        </w:rPr>
        <w:t xml:space="preserve">Report on </w:t>
      </w:r>
      <w:r w:rsidR="005A4AB3" w:rsidRPr="00133BEA">
        <w:rPr>
          <w:sz w:val="24"/>
          <w:szCs w:val="24"/>
          <w:lang w:val="en-US"/>
        </w:rPr>
        <w:t>The Turkish High Council of Judges and Public Prosecutors: Assessment of Its Initial Track Record of Operation</w:t>
      </w:r>
      <w:r w:rsidR="005A4AB3">
        <w:rPr>
          <w:sz w:val="24"/>
          <w:szCs w:val="24"/>
          <w:lang w:val="en-GB"/>
        </w:rPr>
        <w:t xml:space="preserve"> of 4 February 2013 </w:t>
      </w:r>
      <w:r w:rsidR="00453BA2">
        <w:rPr>
          <w:sz w:val="24"/>
          <w:szCs w:val="24"/>
          <w:lang w:val="en-GB"/>
        </w:rPr>
        <w:t>(</w:t>
      </w:r>
      <w:r w:rsidR="00B4152E">
        <w:rPr>
          <w:sz w:val="24"/>
          <w:szCs w:val="24"/>
          <w:lang w:val="en-US"/>
        </w:rPr>
        <w:t>https:</w:t>
      </w:r>
      <w:r w:rsidR="00453BA2" w:rsidRPr="00993F99">
        <w:rPr>
          <w:sz w:val="24"/>
          <w:szCs w:val="24"/>
          <w:lang w:val="en-US"/>
        </w:rPr>
        <w:t>//jean-monnet-saar.eu/wp-content/uploads/2013/12/Report04022013_edited.pdf</w:t>
      </w:r>
      <w:r w:rsidR="00453BA2">
        <w:rPr>
          <w:sz w:val="24"/>
          <w:szCs w:val="24"/>
          <w:lang w:val="en-US"/>
        </w:rPr>
        <w:t>)</w:t>
      </w:r>
    </w:p>
    <w:p w:rsidR="00581CB9" w:rsidRDefault="00581CB9" w:rsidP="00CA37B6">
      <w:pPr>
        <w:tabs>
          <w:tab w:val="left" w:pos="1134"/>
        </w:tabs>
        <w:spacing w:after="120"/>
        <w:ind w:firstLine="567"/>
        <w:rPr>
          <w:sz w:val="24"/>
          <w:szCs w:val="24"/>
          <w:lang w:val="en-US"/>
        </w:rPr>
      </w:pPr>
    </w:p>
    <w:p w:rsidR="00581CB9" w:rsidRDefault="00BC32E8" w:rsidP="00581CB9">
      <w:pPr>
        <w:spacing w:after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159</w:t>
      </w:r>
      <w:r w:rsidR="00581CB9" w:rsidRPr="004E2D11">
        <w:rPr>
          <w:sz w:val="24"/>
          <w:szCs w:val="24"/>
          <w:lang w:val="en-US"/>
        </w:rPr>
        <w:t>)</w:t>
      </w:r>
      <w:r w:rsidR="00581CB9" w:rsidRPr="004E2D11">
        <w:rPr>
          <w:sz w:val="24"/>
          <w:szCs w:val="24"/>
          <w:lang w:val="en-US"/>
        </w:rPr>
        <w:tab/>
      </w:r>
      <w:r w:rsidR="00581CB9" w:rsidRPr="004E2D11">
        <w:rPr>
          <w:sz w:val="24"/>
          <w:szCs w:val="24"/>
          <w:lang w:val="en-GB"/>
        </w:rPr>
        <w:t xml:space="preserve">Peer Assessment on Judicial Training (27th – 31st May 2013) – Chapter 23: Judiciary and Fundamental Rights – Report on </w:t>
      </w:r>
      <w:r w:rsidR="00581CB9" w:rsidRPr="004E2D11">
        <w:rPr>
          <w:sz w:val="24"/>
          <w:szCs w:val="24"/>
          <w:lang w:val="en-US"/>
        </w:rPr>
        <w:t>Judicial Training Offered at Graduate and Post-Graduate Level</w:t>
      </w:r>
      <w:r w:rsidR="00581CB9">
        <w:rPr>
          <w:sz w:val="24"/>
          <w:szCs w:val="24"/>
          <w:lang w:val="en-US"/>
        </w:rPr>
        <w:t xml:space="preserve"> of 25 November 2013 (</w:t>
      </w:r>
      <w:r w:rsidR="00B4152E">
        <w:rPr>
          <w:sz w:val="24"/>
          <w:szCs w:val="24"/>
          <w:lang w:val="en-US"/>
        </w:rPr>
        <w:t>https:</w:t>
      </w:r>
      <w:r w:rsidR="00581CB9" w:rsidRPr="001A75A3">
        <w:rPr>
          <w:sz w:val="24"/>
          <w:szCs w:val="24"/>
          <w:lang w:val="en-US"/>
        </w:rPr>
        <w:t>//jean-monnet-saar.eu/wp-content/uploads/2013/12/Report25112013_edited1.pdf</w:t>
      </w:r>
      <w:r w:rsidR="00581CB9">
        <w:rPr>
          <w:sz w:val="24"/>
          <w:szCs w:val="24"/>
          <w:lang w:val="en-US"/>
        </w:rPr>
        <w:t>)</w:t>
      </w:r>
    </w:p>
    <w:p w:rsidR="00581CB9" w:rsidRDefault="00581CB9" w:rsidP="00581CB9">
      <w:pPr>
        <w:spacing w:after="120"/>
        <w:jc w:val="both"/>
        <w:rPr>
          <w:sz w:val="24"/>
          <w:szCs w:val="24"/>
          <w:lang w:val="en-US"/>
        </w:rPr>
      </w:pPr>
    </w:p>
    <w:p w:rsidR="00581CB9" w:rsidRDefault="00BC32E8" w:rsidP="005D68CE">
      <w:pPr>
        <w:tabs>
          <w:tab w:val="left" w:pos="567"/>
        </w:tabs>
        <w:spacing w:after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160</w:t>
      </w:r>
      <w:r w:rsidR="00581CB9">
        <w:rPr>
          <w:sz w:val="24"/>
          <w:szCs w:val="24"/>
          <w:lang w:val="en-US"/>
        </w:rPr>
        <w:t>)</w:t>
      </w:r>
      <w:r w:rsidR="00581CB9">
        <w:rPr>
          <w:sz w:val="24"/>
          <w:szCs w:val="24"/>
          <w:lang w:val="en-US"/>
        </w:rPr>
        <w:tab/>
        <w:t>Essentials of European Law: Antidiscrimination Law (Jean-Monnet-Saar/Europarecht Online: Saar Briefs) (</w:t>
      </w:r>
      <w:r w:rsidR="00B4152E">
        <w:rPr>
          <w:sz w:val="24"/>
          <w:szCs w:val="24"/>
          <w:lang w:val="en-US"/>
        </w:rPr>
        <w:t>https:</w:t>
      </w:r>
      <w:r w:rsidR="00581CB9" w:rsidRPr="00A077E5">
        <w:rPr>
          <w:sz w:val="24"/>
          <w:szCs w:val="24"/>
          <w:lang w:val="en-US"/>
        </w:rPr>
        <w:t>//jean-monnet-saar.eu/?p=641</w:t>
      </w:r>
      <w:r w:rsidR="00581CB9">
        <w:rPr>
          <w:sz w:val="24"/>
          <w:szCs w:val="24"/>
          <w:lang w:val="en-US"/>
        </w:rPr>
        <w:t>)</w:t>
      </w:r>
    </w:p>
    <w:p w:rsidR="00581CB9" w:rsidRDefault="00581CB9" w:rsidP="00581CB9">
      <w:pPr>
        <w:spacing w:after="120"/>
        <w:jc w:val="both"/>
        <w:rPr>
          <w:sz w:val="24"/>
          <w:szCs w:val="24"/>
          <w:lang w:val="en-US"/>
        </w:rPr>
      </w:pPr>
    </w:p>
    <w:p w:rsidR="00581CB9" w:rsidRDefault="00BC32E8" w:rsidP="005D68CE">
      <w:pPr>
        <w:tabs>
          <w:tab w:val="left" w:pos="567"/>
        </w:tabs>
        <w:spacing w:after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161</w:t>
      </w:r>
      <w:r w:rsidR="00581CB9">
        <w:rPr>
          <w:sz w:val="24"/>
          <w:szCs w:val="24"/>
          <w:lang w:val="en-US"/>
        </w:rPr>
        <w:t>)</w:t>
      </w:r>
      <w:r w:rsidR="00581CB9">
        <w:rPr>
          <w:sz w:val="24"/>
          <w:szCs w:val="24"/>
          <w:lang w:val="en-US"/>
        </w:rPr>
        <w:tab/>
      </w:r>
      <w:r w:rsidR="00581CB9" w:rsidRPr="0082081A">
        <w:rPr>
          <w:sz w:val="24"/>
          <w:szCs w:val="24"/>
          <w:lang w:val="en-GB"/>
        </w:rPr>
        <w:t>Peer Review Mission on the High Council of Judges and Prosecutors (6 – 8 May 2014)</w:t>
      </w:r>
      <w:r w:rsidR="00581CB9">
        <w:rPr>
          <w:sz w:val="24"/>
          <w:szCs w:val="24"/>
          <w:lang w:val="en-GB"/>
        </w:rPr>
        <w:t xml:space="preserve"> – </w:t>
      </w:r>
      <w:r w:rsidR="00581CB9" w:rsidRPr="0082081A">
        <w:rPr>
          <w:sz w:val="24"/>
          <w:szCs w:val="24"/>
          <w:lang w:val="en-GB"/>
        </w:rPr>
        <w:t>Report on the</w:t>
      </w:r>
      <w:r w:rsidR="00581CB9">
        <w:rPr>
          <w:sz w:val="24"/>
          <w:szCs w:val="24"/>
          <w:lang w:val="en-GB"/>
        </w:rPr>
        <w:t xml:space="preserve"> </w:t>
      </w:r>
      <w:r w:rsidR="00581CB9" w:rsidRPr="0082081A">
        <w:rPr>
          <w:sz w:val="24"/>
          <w:szCs w:val="24"/>
          <w:lang w:val="en-US"/>
        </w:rPr>
        <w:t>Reform of the High Council of Judges and Public Prosecutors by Law No. 6524 of February 2014</w:t>
      </w:r>
      <w:r w:rsidR="00581CB9">
        <w:rPr>
          <w:sz w:val="24"/>
          <w:szCs w:val="24"/>
          <w:lang w:val="en-US"/>
        </w:rPr>
        <w:t xml:space="preserve"> of 18 December 2014 </w:t>
      </w:r>
      <w:r w:rsidR="00581CB9">
        <w:rPr>
          <w:sz w:val="24"/>
          <w:szCs w:val="24"/>
          <w:lang w:val="en-GB"/>
        </w:rPr>
        <w:t>(</w:t>
      </w:r>
      <w:r w:rsidR="00B4152E">
        <w:rPr>
          <w:sz w:val="24"/>
          <w:szCs w:val="24"/>
          <w:lang w:val="en-GB"/>
        </w:rPr>
        <w:t>https:</w:t>
      </w:r>
      <w:r w:rsidR="00581CB9" w:rsidRPr="00FE5BD4">
        <w:rPr>
          <w:sz w:val="24"/>
          <w:szCs w:val="24"/>
          <w:lang w:val="en-GB"/>
        </w:rPr>
        <w:t>//jean-monnet-saar.eu/wp-content/uploads/2015/03/Report052014.pdf</w:t>
      </w:r>
      <w:r w:rsidR="00581CB9">
        <w:rPr>
          <w:sz w:val="24"/>
          <w:szCs w:val="24"/>
          <w:lang w:val="en-US"/>
        </w:rPr>
        <w:t>)</w:t>
      </w:r>
    </w:p>
    <w:p w:rsidR="00581CB9" w:rsidRDefault="00581CB9" w:rsidP="00581CB9">
      <w:pPr>
        <w:spacing w:after="120"/>
        <w:jc w:val="both"/>
        <w:rPr>
          <w:sz w:val="24"/>
          <w:szCs w:val="24"/>
          <w:lang w:val="en-US"/>
        </w:rPr>
      </w:pPr>
    </w:p>
    <w:p w:rsidR="00581CB9" w:rsidRDefault="00581CB9" w:rsidP="005D68CE">
      <w:pPr>
        <w:tabs>
          <w:tab w:val="left" w:pos="567"/>
        </w:tabs>
        <w:spacing w:after="120"/>
        <w:jc w:val="both"/>
        <w:rPr>
          <w:sz w:val="24"/>
          <w:szCs w:val="24"/>
        </w:rPr>
      </w:pPr>
      <w:r w:rsidRPr="00796039">
        <w:rPr>
          <w:sz w:val="24"/>
          <w:szCs w:val="24"/>
          <w:lang w:val="en-US"/>
        </w:rPr>
        <w:tab/>
      </w:r>
      <w:r w:rsidR="00BC32E8">
        <w:rPr>
          <w:sz w:val="24"/>
          <w:szCs w:val="24"/>
        </w:rPr>
        <w:t>162</w:t>
      </w:r>
      <w:r w:rsidRPr="00796039">
        <w:rPr>
          <w:sz w:val="24"/>
          <w:szCs w:val="24"/>
        </w:rPr>
        <w:t>)</w:t>
      </w:r>
      <w:r w:rsidRPr="00796039">
        <w:rPr>
          <w:sz w:val="24"/>
          <w:szCs w:val="24"/>
        </w:rPr>
        <w:tab/>
        <w:t>Das zukünftige Transatlantic Trade and Investment Partnership (TTIP)-Übereinkommen und seine Auswirkungen auf europäische Umwelt-, Verbraucher- und A</w:t>
      </w:r>
      <w:r w:rsidRPr="00796039">
        <w:rPr>
          <w:sz w:val="24"/>
          <w:szCs w:val="24"/>
        </w:rPr>
        <w:t>r</w:t>
      </w:r>
      <w:r w:rsidRPr="00796039">
        <w:rPr>
          <w:sz w:val="24"/>
          <w:szCs w:val="24"/>
        </w:rPr>
        <w:t>beitnehmerschutzstandards – erste Einschätzung anhand einer Extrapolation des Entwurfs des EU-Canada Comprehensive Economic and Trade Agreement (CETA)</w:t>
      </w:r>
      <w:r>
        <w:rPr>
          <w:sz w:val="24"/>
          <w:szCs w:val="24"/>
        </w:rPr>
        <w:t xml:space="preserve"> (</w:t>
      </w:r>
      <w:r w:rsidR="00B4152E">
        <w:rPr>
          <w:sz w:val="24"/>
          <w:szCs w:val="24"/>
        </w:rPr>
        <w:t>https:</w:t>
      </w:r>
      <w:r w:rsidRPr="00796039">
        <w:rPr>
          <w:sz w:val="24"/>
          <w:szCs w:val="24"/>
        </w:rPr>
        <w:t>//jean-monnet-saar.eu/wp-content/uploads/2013/12/Jean-Monnet-Saar-Series_Giegerich_042015.pdf</w:t>
      </w:r>
      <w:r>
        <w:rPr>
          <w:sz w:val="24"/>
          <w:szCs w:val="24"/>
        </w:rPr>
        <w:t>)</w:t>
      </w:r>
    </w:p>
    <w:p w:rsidR="00581CB9" w:rsidRDefault="00581CB9" w:rsidP="00581CB9">
      <w:pPr>
        <w:spacing w:after="120"/>
        <w:jc w:val="both"/>
        <w:rPr>
          <w:sz w:val="24"/>
          <w:szCs w:val="24"/>
        </w:rPr>
      </w:pPr>
    </w:p>
    <w:p w:rsidR="00581CB9" w:rsidRPr="00FB44C3" w:rsidRDefault="00581CB9" w:rsidP="005D68CE">
      <w:pPr>
        <w:tabs>
          <w:tab w:val="left" w:pos="567"/>
        </w:tabs>
        <w:spacing w:after="120"/>
        <w:jc w:val="both"/>
        <w:rPr>
          <w:sz w:val="24"/>
          <w:szCs w:val="24"/>
          <w:lang w:val="en-US"/>
        </w:rPr>
      </w:pPr>
      <w:r w:rsidRPr="00FB44C3">
        <w:rPr>
          <w:sz w:val="24"/>
          <w:szCs w:val="24"/>
        </w:rPr>
        <w:tab/>
      </w:r>
      <w:r w:rsidR="00BC32E8">
        <w:rPr>
          <w:sz w:val="24"/>
          <w:szCs w:val="24"/>
          <w:lang w:val="en-US"/>
        </w:rPr>
        <w:t>163</w:t>
      </w:r>
      <w:r w:rsidRPr="00FB44C3">
        <w:rPr>
          <w:sz w:val="24"/>
          <w:szCs w:val="24"/>
          <w:lang w:val="en-US"/>
        </w:rPr>
        <w:t>)</w:t>
      </w:r>
      <w:r w:rsidRPr="00FB44C3">
        <w:rPr>
          <w:sz w:val="24"/>
          <w:szCs w:val="24"/>
          <w:lang w:val="en-US"/>
        </w:rPr>
        <w:tab/>
        <w:t>The Prospective Impact of the TTIP Agreement on the European Union’s Po</w:t>
      </w:r>
      <w:r w:rsidRPr="00FB44C3">
        <w:rPr>
          <w:sz w:val="24"/>
          <w:szCs w:val="24"/>
          <w:lang w:val="en-US"/>
        </w:rPr>
        <w:t>w</w:t>
      </w:r>
      <w:r w:rsidRPr="00FB44C3">
        <w:rPr>
          <w:sz w:val="24"/>
          <w:szCs w:val="24"/>
          <w:lang w:val="en-US"/>
        </w:rPr>
        <w:t>er to Regulate</w:t>
      </w:r>
      <w:r>
        <w:rPr>
          <w:sz w:val="24"/>
          <w:szCs w:val="24"/>
          <w:lang w:val="en-US"/>
        </w:rPr>
        <w:t xml:space="preserve"> (</w:t>
      </w:r>
      <w:r w:rsidR="00B4152E">
        <w:rPr>
          <w:sz w:val="24"/>
          <w:szCs w:val="24"/>
          <w:lang w:val="en-US"/>
        </w:rPr>
        <w:t>https:</w:t>
      </w:r>
      <w:r w:rsidRPr="00FB44C3">
        <w:rPr>
          <w:sz w:val="24"/>
          <w:szCs w:val="24"/>
          <w:lang w:val="en-US"/>
        </w:rPr>
        <w:t>//jean-monnet-saar.eu/?p=838</w:t>
      </w:r>
      <w:r>
        <w:rPr>
          <w:sz w:val="24"/>
          <w:szCs w:val="24"/>
          <w:lang w:val="en-US"/>
        </w:rPr>
        <w:t>)</w:t>
      </w:r>
    </w:p>
    <w:p w:rsidR="00581CB9" w:rsidRDefault="00581CB9" w:rsidP="00CA37B6">
      <w:pPr>
        <w:tabs>
          <w:tab w:val="left" w:pos="1134"/>
        </w:tabs>
        <w:spacing w:after="120"/>
        <w:ind w:firstLine="567"/>
        <w:rPr>
          <w:sz w:val="24"/>
          <w:szCs w:val="24"/>
          <w:lang w:val="en-US"/>
        </w:rPr>
      </w:pPr>
    </w:p>
    <w:p w:rsidR="00594407" w:rsidRDefault="00594407" w:rsidP="005D68CE">
      <w:pPr>
        <w:tabs>
          <w:tab w:val="left" w:pos="567"/>
        </w:tabs>
        <w:rPr>
          <w:sz w:val="24"/>
          <w:szCs w:val="24"/>
        </w:rPr>
      </w:pPr>
      <w:r w:rsidRPr="00471870">
        <w:rPr>
          <w:sz w:val="24"/>
          <w:szCs w:val="24"/>
          <w:lang w:val="en-GB"/>
        </w:rPr>
        <w:tab/>
      </w:r>
      <w:r w:rsidR="00BC32E8">
        <w:rPr>
          <w:sz w:val="24"/>
          <w:szCs w:val="24"/>
        </w:rPr>
        <w:t>164</w:t>
      </w:r>
      <w:r w:rsidRPr="001D3087">
        <w:rPr>
          <w:sz w:val="24"/>
          <w:szCs w:val="24"/>
        </w:rPr>
        <w:t>)</w:t>
      </w:r>
      <w:r w:rsidRPr="001D3087">
        <w:rPr>
          <w:sz w:val="24"/>
          <w:szCs w:val="24"/>
        </w:rPr>
        <w:tab/>
        <w:t xml:space="preserve">Gutachten zu Rechtsfragen eines Einsatzes deutscher Verwaltungsbeamter zur Bearbeitung von Asylanträgen nach deutschem Recht in Erstaufnahme-Hotspots anderer EU-Mitgliedstaaten an den EU-Außengrenzen, </w:t>
      </w:r>
      <w:r w:rsidRPr="00471870">
        <w:rPr>
          <w:sz w:val="24"/>
          <w:szCs w:val="24"/>
        </w:rPr>
        <w:t xml:space="preserve">Jean-Monnet-Saar/Europarecht Online: </w:t>
      </w:r>
      <w:r w:rsidRPr="001D3087">
        <w:rPr>
          <w:sz w:val="24"/>
          <w:szCs w:val="24"/>
        </w:rPr>
        <w:t>Saar E</w:t>
      </w:r>
      <w:r w:rsidRPr="001D3087">
        <w:rPr>
          <w:sz w:val="24"/>
          <w:szCs w:val="24"/>
        </w:rPr>
        <w:t>x</w:t>
      </w:r>
      <w:r>
        <w:rPr>
          <w:sz w:val="24"/>
          <w:szCs w:val="24"/>
        </w:rPr>
        <w:t>pert Papers</w:t>
      </w:r>
      <w:r w:rsidRPr="001D3087">
        <w:rPr>
          <w:sz w:val="24"/>
          <w:szCs w:val="24"/>
        </w:rPr>
        <w:t xml:space="preserve"> 2</w:t>
      </w:r>
      <w:r>
        <w:rPr>
          <w:sz w:val="24"/>
          <w:szCs w:val="24"/>
        </w:rPr>
        <w:t>/2015 (</w:t>
      </w:r>
      <w:r w:rsidR="00B4152E">
        <w:rPr>
          <w:sz w:val="24"/>
          <w:szCs w:val="24"/>
        </w:rPr>
        <w:t>https:</w:t>
      </w:r>
      <w:r w:rsidRPr="001D3087">
        <w:rPr>
          <w:sz w:val="24"/>
          <w:szCs w:val="24"/>
        </w:rPr>
        <w:t>//jean-monnet-saar.eu/?page_id=70</w:t>
      </w:r>
      <w:r>
        <w:rPr>
          <w:sz w:val="24"/>
          <w:szCs w:val="24"/>
        </w:rPr>
        <w:t>)</w:t>
      </w:r>
    </w:p>
    <w:p w:rsidR="00594407" w:rsidRDefault="00594407" w:rsidP="00594407">
      <w:pPr>
        <w:rPr>
          <w:sz w:val="24"/>
          <w:szCs w:val="24"/>
        </w:rPr>
      </w:pPr>
    </w:p>
    <w:p w:rsidR="00594407" w:rsidRPr="00714D4F" w:rsidRDefault="00BC32E8" w:rsidP="005D68CE">
      <w:pPr>
        <w:tabs>
          <w:tab w:val="left" w:pos="567"/>
        </w:tabs>
        <w:rPr>
          <w:sz w:val="22"/>
          <w:szCs w:val="24"/>
        </w:rPr>
      </w:pPr>
      <w:r>
        <w:rPr>
          <w:sz w:val="24"/>
          <w:szCs w:val="24"/>
        </w:rPr>
        <w:tab/>
        <w:t>165</w:t>
      </w:r>
      <w:r w:rsidR="00594407">
        <w:rPr>
          <w:sz w:val="24"/>
          <w:szCs w:val="24"/>
        </w:rPr>
        <w:t>)</w:t>
      </w:r>
      <w:r w:rsidR="00594407">
        <w:rPr>
          <w:sz w:val="24"/>
          <w:szCs w:val="24"/>
        </w:rPr>
        <w:tab/>
        <w:t>Keine Freigabe kryokonservierter Embryonen zur Stammzellenforschung: An</w:t>
      </w:r>
      <w:r w:rsidR="00594407">
        <w:rPr>
          <w:sz w:val="24"/>
          <w:szCs w:val="24"/>
        </w:rPr>
        <w:t>a</w:t>
      </w:r>
      <w:r w:rsidR="00594407">
        <w:rPr>
          <w:sz w:val="24"/>
          <w:szCs w:val="24"/>
        </w:rPr>
        <w:t xml:space="preserve">lyse des EGMR-Urteils „Parrillo v. Italy“ (App. No. 46470/11), </w:t>
      </w:r>
      <w:r w:rsidR="00594407" w:rsidRPr="00471870">
        <w:rPr>
          <w:sz w:val="24"/>
          <w:szCs w:val="24"/>
        </w:rPr>
        <w:t>Jean-Monnet-Saar/Europarecht Online: Saar Briefs 01/16 (</w:t>
      </w:r>
      <w:r w:rsidR="00B4152E">
        <w:rPr>
          <w:sz w:val="24"/>
          <w:szCs w:val="24"/>
        </w:rPr>
        <w:t>https:</w:t>
      </w:r>
      <w:r w:rsidR="00594407" w:rsidRPr="00471870">
        <w:rPr>
          <w:sz w:val="24"/>
          <w:szCs w:val="24"/>
        </w:rPr>
        <w:t>//jean-monnet-saar.eu/?p=1116) (zusa</w:t>
      </w:r>
      <w:r w:rsidR="00594407" w:rsidRPr="00471870">
        <w:rPr>
          <w:sz w:val="24"/>
          <w:szCs w:val="24"/>
        </w:rPr>
        <w:t>m</w:t>
      </w:r>
      <w:r w:rsidR="00594407" w:rsidRPr="00471870">
        <w:rPr>
          <w:sz w:val="24"/>
          <w:szCs w:val="24"/>
        </w:rPr>
        <w:t>men mit Sabihat Kreß)</w:t>
      </w:r>
    </w:p>
    <w:p w:rsidR="00594407" w:rsidRPr="001D3087" w:rsidRDefault="00594407" w:rsidP="00594407">
      <w:pPr>
        <w:spacing w:after="120"/>
        <w:jc w:val="both"/>
        <w:rPr>
          <w:sz w:val="24"/>
          <w:szCs w:val="24"/>
        </w:rPr>
      </w:pPr>
    </w:p>
    <w:p w:rsidR="00594407" w:rsidRDefault="00BC32E8" w:rsidP="005D68CE">
      <w:pPr>
        <w:tabs>
          <w:tab w:val="left" w:pos="56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166</w:t>
      </w:r>
      <w:r w:rsidR="00594407">
        <w:rPr>
          <w:sz w:val="24"/>
          <w:szCs w:val="24"/>
        </w:rPr>
        <w:t>)</w:t>
      </w:r>
      <w:r w:rsidR="00594407">
        <w:rPr>
          <w:sz w:val="24"/>
          <w:szCs w:val="24"/>
        </w:rPr>
        <w:tab/>
        <w:t>Gutachten zu Rechtsfragen betreffend die Erhebung, Speicherung und Vera</w:t>
      </w:r>
      <w:r w:rsidR="00594407">
        <w:rPr>
          <w:sz w:val="24"/>
          <w:szCs w:val="24"/>
        </w:rPr>
        <w:t>r</w:t>
      </w:r>
      <w:r w:rsidR="00594407">
        <w:rPr>
          <w:sz w:val="24"/>
          <w:szCs w:val="24"/>
        </w:rPr>
        <w:t xml:space="preserve">beitung personenbezogener Daten von Flüchtlingen, </w:t>
      </w:r>
      <w:r w:rsidR="00594407" w:rsidRPr="00471870">
        <w:rPr>
          <w:sz w:val="24"/>
          <w:szCs w:val="24"/>
        </w:rPr>
        <w:t xml:space="preserve">Jean-Monnet-Saar/Europarecht Online: </w:t>
      </w:r>
      <w:r w:rsidR="00594407" w:rsidRPr="001D3087">
        <w:rPr>
          <w:sz w:val="24"/>
          <w:szCs w:val="24"/>
        </w:rPr>
        <w:lastRenderedPageBreak/>
        <w:t>Saar Ex</w:t>
      </w:r>
      <w:r w:rsidR="00594407">
        <w:rPr>
          <w:sz w:val="24"/>
          <w:szCs w:val="24"/>
        </w:rPr>
        <w:t>pert Papers 1/2016</w:t>
      </w:r>
      <w:r w:rsidR="00594407" w:rsidRPr="001B0DBB">
        <w:rPr>
          <w:sz w:val="24"/>
          <w:szCs w:val="24"/>
        </w:rPr>
        <w:t xml:space="preserve"> (</w:t>
      </w:r>
      <w:hyperlink r:id="rId7" w:history="1">
        <w:r w:rsidR="00B4152E">
          <w:rPr>
            <w:rStyle w:val="Hyperlink"/>
            <w:color w:val="auto"/>
            <w:sz w:val="24"/>
            <w:szCs w:val="24"/>
            <w:u w:val="none"/>
          </w:rPr>
          <w:t>https:</w:t>
        </w:r>
        <w:r w:rsidR="00594407" w:rsidRPr="001B0DBB">
          <w:rPr>
            <w:rStyle w:val="Hyperlink"/>
            <w:color w:val="auto"/>
            <w:sz w:val="24"/>
            <w:szCs w:val="24"/>
            <w:u w:val="none"/>
          </w:rPr>
          <w:t>//jean-monnet-saar.eu/wp-content/uploads/2013/12/GutachtenDatenschutz.pdf</w:t>
        </w:r>
      </w:hyperlink>
      <w:r w:rsidR="00594407" w:rsidRPr="001B0DBB">
        <w:rPr>
          <w:sz w:val="24"/>
          <w:szCs w:val="24"/>
        </w:rPr>
        <w:t>)</w:t>
      </w:r>
    </w:p>
    <w:p w:rsidR="00594407" w:rsidRDefault="00594407" w:rsidP="00594407">
      <w:pPr>
        <w:spacing w:after="120"/>
        <w:jc w:val="both"/>
        <w:rPr>
          <w:sz w:val="24"/>
          <w:szCs w:val="24"/>
        </w:rPr>
      </w:pPr>
    </w:p>
    <w:p w:rsidR="00594407" w:rsidRDefault="00BC32E8" w:rsidP="005D68CE">
      <w:pPr>
        <w:tabs>
          <w:tab w:val="left" w:pos="56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167</w:t>
      </w:r>
      <w:r w:rsidR="00594407">
        <w:rPr>
          <w:sz w:val="24"/>
          <w:szCs w:val="24"/>
        </w:rPr>
        <w:t>)</w:t>
      </w:r>
      <w:r w:rsidR="00594407">
        <w:rPr>
          <w:sz w:val="24"/>
          <w:szCs w:val="24"/>
        </w:rPr>
        <w:tab/>
        <w:t>Darf ein Abkommen der EU mit Marokko auf das umstrittene Gebiet der Wes</w:t>
      </w:r>
      <w:r w:rsidR="00594407">
        <w:rPr>
          <w:sz w:val="24"/>
          <w:szCs w:val="24"/>
        </w:rPr>
        <w:t>t</w:t>
      </w:r>
      <w:r w:rsidR="00594407">
        <w:rPr>
          <w:sz w:val="24"/>
          <w:szCs w:val="24"/>
        </w:rPr>
        <w:t>sahara angewendet werden? Ein Urteil des EuG an der Schnittstelle von Unions- und Völke</w:t>
      </w:r>
      <w:r w:rsidR="00594407">
        <w:rPr>
          <w:sz w:val="24"/>
          <w:szCs w:val="24"/>
        </w:rPr>
        <w:t>r</w:t>
      </w:r>
      <w:r w:rsidR="00594407">
        <w:rPr>
          <w:sz w:val="24"/>
          <w:szCs w:val="24"/>
        </w:rPr>
        <w:t>recht im Fall Front Polisario ./. Rat (Rs. T-512/12), Jean-Monnet-Saar/Europarecht Online: Saar Briefs 01/16 (</w:t>
      </w:r>
      <w:r w:rsidR="00B4152E">
        <w:rPr>
          <w:sz w:val="24"/>
          <w:szCs w:val="24"/>
        </w:rPr>
        <w:t>https:</w:t>
      </w:r>
      <w:r w:rsidR="00594407" w:rsidRPr="00B1753B">
        <w:rPr>
          <w:sz w:val="24"/>
          <w:szCs w:val="24"/>
        </w:rPr>
        <w:t>//jean-monnet-saar.eu/?p=1146</w:t>
      </w:r>
      <w:r w:rsidR="00594407">
        <w:rPr>
          <w:sz w:val="24"/>
          <w:szCs w:val="24"/>
        </w:rPr>
        <w:t>) (zusammen mit Helen Küchler)</w:t>
      </w:r>
    </w:p>
    <w:p w:rsidR="00594407" w:rsidRDefault="00594407" w:rsidP="00594407">
      <w:pPr>
        <w:spacing w:after="120"/>
        <w:jc w:val="both"/>
        <w:rPr>
          <w:sz w:val="24"/>
          <w:szCs w:val="24"/>
        </w:rPr>
      </w:pPr>
    </w:p>
    <w:p w:rsidR="00594407" w:rsidRPr="00471870" w:rsidRDefault="00471870" w:rsidP="005D68CE">
      <w:pPr>
        <w:tabs>
          <w:tab w:val="left" w:pos="56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BC32E8">
        <w:rPr>
          <w:sz w:val="24"/>
          <w:szCs w:val="24"/>
        </w:rPr>
        <w:t>68</w:t>
      </w:r>
      <w:r w:rsidR="00594407">
        <w:rPr>
          <w:sz w:val="24"/>
          <w:szCs w:val="24"/>
        </w:rPr>
        <w:t>)</w:t>
      </w:r>
      <w:r w:rsidR="00594407">
        <w:rPr>
          <w:sz w:val="24"/>
          <w:szCs w:val="24"/>
        </w:rPr>
        <w:tab/>
        <w:t xml:space="preserve">Völkerrechtsfreundlichkeit „light“ – Viel Schatten und wenig Licht im BVerfG-Beschluss zum Treaty Override, </w:t>
      </w:r>
      <w:r w:rsidR="00594407" w:rsidRPr="00471870">
        <w:rPr>
          <w:sz w:val="24"/>
          <w:szCs w:val="24"/>
        </w:rPr>
        <w:t xml:space="preserve">Jean-Monnet-Saar/Europarecht Online: </w:t>
      </w:r>
      <w:r w:rsidR="00594407" w:rsidRPr="001D3087">
        <w:rPr>
          <w:sz w:val="24"/>
          <w:szCs w:val="24"/>
        </w:rPr>
        <w:t>Saar Ex</w:t>
      </w:r>
      <w:r w:rsidR="00594407">
        <w:rPr>
          <w:sz w:val="24"/>
          <w:szCs w:val="24"/>
        </w:rPr>
        <w:t>pert Papers</w:t>
      </w:r>
      <w:r w:rsidR="00594407" w:rsidRPr="001D3087">
        <w:rPr>
          <w:sz w:val="24"/>
          <w:szCs w:val="24"/>
        </w:rPr>
        <w:t xml:space="preserve"> 2</w:t>
      </w:r>
      <w:r w:rsidR="00594407">
        <w:rPr>
          <w:sz w:val="24"/>
          <w:szCs w:val="24"/>
        </w:rPr>
        <w:t xml:space="preserve">/2016 </w:t>
      </w:r>
      <w:r w:rsidR="00594407" w:rsidRPr="00471870">
        <w:rPr>
          <w:sz w:val="24"/>
          <w:szCs w:val="24"/>
        </w:rPr>
        <w:t>(</w:t>
      </w:r>
      <w:r w:rsidR="00B4152E">
        <w:rPr>
          <w:sz w:val="24"/>
          <w:szCs w:val="24"/>
        </w:rPr>
        <w:t>https:</w:t>
      </w:r>
      <w:r w:rsidR="00594407" w:rsidRPr="00471870">
        <w:rPr>
          <w:sz w:val="24"/>
          <w:szCs w:val="24"/>
        </w:rPr>
        <w:t>//jean-monnet-saar.eu/wp-content/uploads/2013/12/TreatyOverride_TG.pdf)</w:t>
      </w:r>
    </w:p>
    <w:p w:rsidR="00594407" w:rsidRDefault="00594407" w:rsidP="00594407">
      <w:pPr>
        <w:spacing w:after="120"/>
        <w:jc w:val="both"/>
        <w:rPr>
          <w:sz w:val="24"/>
          <w:szCs w:val="24"/>
        </w:rPr>
      </w:pPr>
    </w:p>
    <w:p w:rsidR="00594407" w:rsidRPr="00471870" w:rsidRDefault="00594407" w:rsidP="005D68CE">
      <w:pPr>
        <w:tabs>
          <w:tab w:val="left" w:pos="567"/>
        </w:tabs>
        <w:spacing w:after="120"/>
        <w:jc w:val="both"/>
        <w:rPr>
          <w:sz w:val="24"/>
          <w:szCs w:val="24"/>
          <w:lang w:val="en-GB"/>
        </w:rPr>
      </w:pPr>
      <w:r>
        <w:rPr>
          <w:sz w:val="24"/>
          <w:szCs w:val="24"/>
        </w:rPr>
        <w:tab/>
      </w:r>
      <w:r w:rsidR="00BC32E8">
        <w:rPr>
          <w:sz w:val="24"/>
          <w:szCs w:val="24"/>
          <w:lang w:val="en-GB"/>
        </w:rPr>
        <w:t>169</w:t>
      </w:r>
      <w:r w:rsidRPr="00471870">
        <w:rPr>
          <w:sz w:val="24"/>
          <w:szCs w:val="24"/>
          <w:lang w:val="en-GB"/>
        </w:rPr>
        <w:t>)</w:t>
      </w:r>
      <w:r w:rsidRPr="00471870">
        <w:rPr>
          <w:sz w:val="24"/>
          <w:szCs w:val="24"/>
          <w:lang w:val="en-GB"/>
        </w:rPr>
        <w:tab/>
        <w:t>Abstract: Oscillating between Friendliness and Scepticism towards the Europ</w:t>
      </w:r>
      <w:r w:rsidRPr="00471870">
        <w:rPr>
          <w:sz w:val="24"/>
          <w:szCs w:val="24"/>
          <w:lang w:val="en-GB"/>
        </w:rPr>
        <w:t>e</w:t>
      </w:r>
      <w:r w:rsidRPr="00471870">
        <w:rPr>
          <w:sz w:val="24"/>
          <w:szCs w:val="24"/>
          <w:lang w:val="en-GB"/>
        </w:rPr>
        <w:t>an Union – A Critical Survey of the Federal Constitutional Court’s Case-Law regarding Eur</w:t>
      </w:r>
      <w:r w:rsidRPr="00471870">
        <w:rPr>
          <w:sz w:val="24"/>
          <w:szCs w:val="24"/>
          <w:lang w:val="en-GB"/>
        </w:rPr>
        <w:t>o</w:t>
      </w:r>
      <w:r w:rsidRPr="00471870">
        <w:rPr>
          <w:sz w:val="24"/>
          <w:szCs w:val="24"/>
          <w:lang w:val="en-GB"/>
        </w:rPr>
        <w:t>pean Integration, Jean-Monnet-Saar/Europarecht Online: Saar Briefs 03/16 (</w:t>
      </w:r>
      <w:r w:rsidR="00B4152E">
        <w:rPr>
          <w:sz w:val="24"/>
          <w:szCs w:val="24"/>
          <w:lang w:val="en-GB"/>
        </w:rPr>
        <w:t>https:</w:t>
      </w:r>
      <w:r w:rsidRPr="00471870">
        <w:rPr>
          <w:sz w:val="24"/>
          <w:szCs w:val="24"/>
          <w:lang w:val="en-GB"/>
        </w:rPr>
        <w:t>//jean-monnet-saar.eu/?p=1258)</w:t>
      </w:r>
    </w:p>
    <w:p w:rsidR="00594407" w:rsidRPr="00471870" w:rsidRDefault="00594407" w:rsidP="00594407">
      <w:pPr>
        <w:spacing w:after="120"/>
        <w:jc w:val="both"/>
        <w:rPr>
          <w:sz w:val="24"/>
          <w:szCs w:val="24"/>
          <w:lang w:val="en-GB"/>
        </w:rPr>
      </w:pPr>
    </w:p>
    <w:p w:rsidR="00594407" w:rsidRDefault="00BC32E8" w:rsidP="005D68CE">
      <w:pPr>
        <w:tabs>
          <w:tab w:val="left" w:pos="567"/>
        </w:tabs>
        <w:spacing w:after="1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170</w:t>
      </w:r>
      <w:r w:rsidR="00594407" w:rsidRPr="00471870">
        <w:rPr>
          <w:sz w:val="24"/>
          <w:szCs w:val="24"/>
          <w:lang w:val="en-GB"/>
        </w:rPr>
        <w:t>)</w:t>
      </w:r>
      <w:r w:rsidR="00594407" w:rsidRPr="00471870">
        <w:rPr>
          <w:sz w:val="24"/>
          <w:szCs w:val="24"/>
          <w:lang w:val="en-GB"/>
        </w:rPr>
        <w:tab/>
        <w:t>Discriminatory Entrance Fee, the German Federal Constitutional Court and the Absent Court of Justice of the EU – A Commentary, Jean-Monnet-Saar/Europarecht Online: Saar Briefs 10/2016 (</w:t>
      </w:r>
      <w:r w:rsidR="00B4152E">
        <w:rPr>
          <w:sz w:val="24"/>
          <w:szCs w:val="24"/>
          <w:lang w:val="en-GB"/>
        </w:rPr>
        <w:t>https:</w:t>
      </w:r>
      <w:r w:rsidR="00594407" w:rsidRPr="00471870">
        <w:rPr>
          <w:sz w:val="24"/>
          <w:szCs w:val="24"/>
          <w:lang w:val="en-GB"/>
        </w:rPr>
        <w:t>//jean-monnet-saar.eu/?p=1575) (zusammen mit Desirée C. Schmitt)</w:t>
      </w:r>
    </w:p>
    <w:p w:rsidR="00471870" w:rsidRDefault="00471870" w:rsidP="00594407">
      <w:pPr>
        <w:spacing w:after="120"/>
        <w:jc w:val="both"/>
        <w:rPr>
          <w:sz w:val="24"/>
          <w:szCs w:val="24"/>
          <w:lang w:val="en-GB"/>
        </w:rPr>
      </w:pPr>
    </w:p>
    <w:p w:rsidR="00471870" w:rsidRDefault="00BC32E8" w:rsidP="005D68CE">
      <w:pPr>
        <w:spacing w:after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171</w:t>
      </w:r>
      <w:r w:rsidR="00471870" w:rsidRPr="00671C0E">
        <w:rPr>
          <w:sz w:val="24"/>
          <w:szCs w:val="24"/>
          <w:lang w:val="en-US"/>
        </w:rPr>
        <w:t>)</w:t>
      </w:r>
      <w:r w:rsidR="00471870" w:rsidRPr="00671C0E">
        <w:rPr>
          <w:sz w:val="24"/>
          <w:szCs w:val="24"/>
          <w:lang w:val="en-US"/>
        </w:rPr>
        <w:tab/>
        <w:t>The European Union as a Global Actor – An Introduction, Jean-Monnet-Saar/Europarecht Online: Saar Briefs 11/2016 (</w:t>
      </w:r>
      <w:hyperlink r:id="rId8" w:history="1">
        <w:r w:rsidR="00B4152E">
          <w:rPr>
            <w:rStyle w:val="Hyperlink"/>
            <w:color w:val="auto"/>
            <w:sz w:val="24"/>
            <w:szCs w:val="24"/>
            <w:u w:val="none"/>
            <w:lang w:val="en-US"/>
          </w:rPr>
          <w:t>https:</w:t>
        </w:r>
        <w:r w:rsidR="00471870" w:rsidRPr="00671C0E">
          <w:rPr>
            <w:rStyle w:val="Hyperlink"/>
            <w:color w:val="auto"/>
            <w:sz w:val="24"/>
            <w:szCs w:val="24"/>
            <w:u w:val="none"/>
            <w:lang w:val="en-US"/>
          </w:rPr>
          <w:t>//jean-monnet-saar.eu/?p=1614</w:t>
        </w:r>
      </w:hyperlink>
      <w:r w:rsidR="00471870" w:rsidRPr="00671C0E">
        <w:rPr>
          <w:sz w:val="24"/>
          <w:szCs w:val="24"/>
          <w:lang w:val="en-US"/>
        </w:rPr>
        <w:t>)</w:t>
      </w:r>
    </w:p>
    <w:p w:rsidR="00471870" w:rsidRDefault="00471870" w:rsidP="00471870">
      <w:pPr>
        <w:spacing w:after="120"/>
        <w:jc w:val="both"/>
        <w:rPr>
          <w:sz w:val="24"/>
          <w:szCs w:val="24"/>
          <w:lang w:val="en-US"/>
        </w:rPr>
      </w:pPr>
    </w:p>
    <w:p w:rsidR="00471870" w:rsidRDefault="00471870" w:rsidP="005D68CE">
      <w:pPr>
        <w:tabs>
          <w:tab w:val="left" w:pos="56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BC32E8">
        <w:rPr>
          <w:sz w:val="24"/>
          <w:szCs w:val="24"/>
        </w:rPr>
        <w:t>172</w:t>
      </w:r>
      <w:r w:rsidRPr="00E500DE">
        <w:rPr>
          <w:sz w:val="24"/>
          <w:szCs w:val="24"/>
        </w:rPr>
        <w:t>)</w:t>
      </w:r>
      <w:r w:rsidRPr="00E500DE">
        <w:rPr>
          <w:sz w:val="24"/>
          <w:szCs w:val="24"/>
        </w:rPr>
        <w:tab/>
        <w:t xml:space="preserve">Überblick über die Freihandelsabkommen der EU mit Kanada (CETA) und den USA (TTIP), Jean-Monnet-Saar/Europarecht Online: Saar Briefs </w:t>
      </w:r>
      <w:r>
        <w:rPr>
          <w:sz w:val="24"/>
          <w:szCs w:val="24"/>
        </w:rPr>
        <w:t>(</w:t>
      </w:r>
      <w:r w:rsidR="00B4152E">
        <w:rPr>
          <w:sz w:val="24"/>
          <w:szCs w:val="24"/>
        </w:rPr>
        <w:t>https:</w:t>
      </w:r>
      <w:r w:rsidRPr="005C2C29">
        <w:rPr>
          <w:sz w:val="24"/>
          <w:szCs w:val="24"/>
        </w:rPr>
        <w:t>//jean-monnet-saar.eu/wp-content/uploads/2016/12/VortragVoelklingen07122016.pdf</w:t>
      </w:r>
      <w:r>
        <w:rPr>
          <w:sz w:val="24"/>
          <w:szCs w:val="24"/>
        </w:rPr>
        <w:t>)</w:t>
      </w:r>
    </w:p>
    <w:p w:rsidR="00471870" w:rsidRDefault="00471870" w:rsidP="00471870">
      <w:pPr>
        <w:spacing w:after="120"/>
        <w:jc w:val="both"/>
        <w:rPr>
          <w:sz w:val="24"/>
          <w:szCs w:val="24"/>
        </w:rPr>
      </w:pPr>
    </w:p>
    <w:p w:rsidR="00471870" w:rsidRPr="00D45150" w:rsidRDefault="00BC32E8" w:rsidP="005D68CE">
      <w:pPr>
        <w:tabs>
          <w:tab w:val="left" w:pos="56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173</w:t>
      </w:r>
      <w:r w:rsidR="00471870">
        <w:rPr>
          <w:sz w:val="24"/>
          <w:szCs w:val="24"/>
        </w:rPr>
        <w:t>)</w:t>
      </w:r>
      <w:r w:rsidR="00471870">
        <w:rPr>
          <w:sz w:val="24"/>
          <w:szCs w:val="24"/>
        </w:rPr>
        <w:tab/>
        <w:t xml:space="preserve">Sieg oder Niederlage für den Front Polisario? </w:t>
      </w:r>
      <w:r w:rsidR="00471870" w:rsidRPr="00D45150">
        <w:rPr>
          <w:sz w:val="24"/>
          <w:szCs w:val="24"/>
        </w:rPr>
        <w:t xml:space="preserve">Das Urteil des EuGH in der Rechtssache C-104/16 P, </w:t>
      </w:r>
      <w:r w:rsidR="00471870" w:rsidRPr="00E500DE">
        <w:rPr>
          <w:sz w:val="24"/>
          <w:szCs w:val="24"/>
        </w:rPr>
        <w:t>Jean-Monnet-Saar/Europarecht Online: Saar Briefs</w:t>
      </w:r>
      <w:r w:rsidR="00471870" w:rsidRPr="00D45150">
        <w:rPr>
          <w:sz w:val="24"/>
          <w:szCs w:val="24"/>
        </w:rPr>
        <w:t xml:space="preserve"> (</w:t>
      </w:r>
      <w:r w:rsidR="00B4152E">
        <w:rPr>
          <w:sz w:val="24"/>
          <w:szCs w:val="24"/>
        </w:rPr>
        <w:t>https:</w:t>
      </w:r>
      <w:r w:rsidR="00471870" w:rsidRPr="00D45150">
        <w:rPr>
          <w:sz w:val="24"/>
          <w:szCs w:val="24"/>
        </w:rPr>
        <w:t>//jean-monnet-saar.eu/?p=1666)</w:t>
      </w:r>
      <w:r w:rsidR="00471870">
        <w:rPr>
          <w:sz w:val="24"/>
          <w:szCs w:val="24"/>
        </w:rPr>
        <w:t xml:space="preserve"> (zusammen mit Helen Küchler)</w:t>
      </w:r>
    </w:p>
    <w:p w:rsidR="00471870" w:rsidRDefault="00471870" w:rsidP="00471870">
      <w:pPr>
        <w:spacing w:after="120"/>
        <w:jc w:val="both"/>
        <w:rPr>
          <w:sz w:val="24"/>
          <w:szCs w:val="24"/>
        </w:rPr>
      </w:pPr>
    </w:p>
    <w:p w:rsidR="00471870" w:rsidRPr="00D45150" w:rsidRDefault="00BC32E8" w:rsidP="005D68CE">
      <w:pPr>
        <w:tabs>
          <w:tab w:val="left" w:pos="56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174</w:t>
      </w:r>
      <w:r w:rsidR="00471870">
        <w:rPr>
          <w:sz w:val="24"/>
          <w:szCs w:val="24"/>
        </w:rPr>
        <w:t>)</w:t>
      </w:r>
      <w:r w:rsidR="00471870">
        <w:rPr>
          <w:sz w:val="24"/>
          <w:szCs w:val="24"/>
        </w:rPr>
        <w:tab/>
        <w:t>Völker- und europarechtliche Perspektiven auf Flucht, Jean-Monnet-Saar/Europarecht Online: Saar Briefs (</w:t>
      </w:r>
      <w:r w:rsidR="00B4152E">
        <w:rPr>
          <w:sz w:val="24"/>
          <w:szCs w:val="24"/>
        </w:rPr>
        <w:t>https:</w:t>
      </w:r>
      <w:r w:rsidR="00471870" w:rsidRPr="008200E0">
        <w:rPr>
          <w:sz w:val="24"/>
          <w:szCs w:val="24"/>
        </w:rPr>
        <w:t>//jean-monnet-saar.eu/wp-content/uploads/2017/02/Voelker-und-europarechtliche-Perspektiven-auf-Flucht.pdf</w:t>
      </w:r>
      <w:r w:rsidR="00471870">
        <w:rPr>
          <w:sz w:val="24"/>
          <w:szCs w:val="24"/>
        </w:rPr>
        <w:t>)</w:t>
      </w:r>
    </w:p>
    <w:p w:rsidR="00471870" w:rsidRPr="00471870" w:rsidRDefault="00471870" w:rsidP="00594407">
      <w:pPr>
        <w:spacing w:after="120"/>
        <w:jc w:val="both"/>
        <w:rPr>
          <w:sz w:val="24"/>
          <w:szCs w:val="24"/>
        </w:rPr>
      </w:pPr>
    </w:p>
    <w:p w:rsidR="00F31AD6" w:rsidRDefault="00BC32E8" w:rsidP="005D68CE">
      <w:pPr>
        <w:tabs>
          <w:tab w:val="left" w:pos="567"/>
          <w:tab w:val="left" w:pos="1418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175</w:t>
      </w:r>
      <w:r w:rsidR="00F31AD6">
        <w:rPr>
          <w:sz w:val="24"/>
          <w:szCs w:val="24"/>
        </w:rPr>
        <w:t>)</w:t>
      </w:r>
      <w:r w:rsidR="00F31AD6">
        <w:rPr>
          <w:sz w:val="24"/>
          <w:szCs w:val="24"/>
        </w:rPr>
        <w:tab/>
        <w:t>Demokratie gestalten im Zeitalter von Europäisierung und Globalisierung, Jean-Monnet-Saar/Europarecht Online: Saar Briefs (</w:t>
      </w:r>
      <w:r w:rsidR="00B4152E">
        <w:rPr>
          <w:sz w:val="24"/>
          <w:szCs w:val="24"/>
        </w:rPr>
        <w:t>https:</w:t>
      </w:r>
      <w:r w:rsidR="00F31AD6" w:rsidRPr="00CF7098">
        <w:rPr>
          <w:sz w:val="24"/>
          <w:szCs w:val="24"/>
        </w:rPr>
        <w:t>//jean-monnet-saar.eu/?p=1935</w:t>
      </w:r>
      <w:r w:rsidR="00F31AD6">
        <w:rPr>
          <w:sz w:val="24"/>
          <w:szCs w:val="24"/>
        </w:rPr>
        <w:t>)</w:t>
      </w:r>
    </w:p>
    <w:p w:rsidR="00F31AD6" w:rsidRDefault="00F31AD6" w:rsidP="00F31AD6">
      <w:pPr>
        <w:spacing w:after="120"/>
        <w:jc w:val="both"/>
        <w:rPr>
          <w:sz w:val="24"/>
          <w:szCs w:val="24"/>
        </w:rPr>
      </w:pPr>
    </w:p>
    <w:p w:rsidR="00F31AD6" w:rsidRDefault="00BC32E8" w:rsidP="005D68CE">
      <w:pPr>
        <w:tabs>
          <w:tab w:val="left" w:pos="567"/>
          <w:tab w:val="left" w:pos="1418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176</w:t>
      </w:r>
      <w:r w:rsidR="00F31AD6">
        <w:rPr>
          <w:sz w:val="24"/>
          <w:szCs w:val="24"/>
        </w:rPr>
        <w:t>)</w:t>
      </w:r>
      <w:r w:rsidR="00F31AD6">
        <w:rPr>
          <w:sz w:val="24"/>
          <w:szCs w:val="24"/>
        </w:rPr>
        <w:tab/>
        <w:t>Bringt das EU-Recht den Europawahlen in Deutschland die 5%-Klausel z</w:t>
      </w:r>
      <w:r w:rsidR="00F31AD6">
        <w:rPr>
          <w:sz w:val="24"/>
          <w:szCs w:val="24"/>
        </w:rPr>
        <w:t>u</w:t>
      </w:r>
      <w:r w:rsidR="00F31AD6">
        <w:rPr>
          <w:sz w:val="24"/>
          <w:szCs w:val="24"/>
        </w:rPr>
        <w:t>rück?, Verfassungsblog vom 7.6.2018 (</w:t>
      </w:r>
      <w:r w:rsidR="00F31AD6" w:rsidRPr="001D1BA1">
        <w:rPr>
          <w:sz w:val="24"/>
          <w:szCs w:val="24"/>
        </w:rPr>
        <w:t>https://verfassungsblog.de/bringt-das-eu-recht-den-europawahlen-in-deutschland-die-5-klausel-zurueck/</w:t>
      </w:r>
      <w:r w:rsidR="00F31AD6">
        <w:rPr>
          <w:sz w:val="24"/>
          <w:szCs w:val="24"/>
        </w:rPr>
        <w:t>)</w:t>
      </w:r>
    </w:p>
    <w:p w:rsidR="00F31AD6" w:rsidRDefault="00F31AD6" w:rsidP="00F31AD6">
      <w:pPr>
        <w:spacing w:after="120"/>
        <w:jc w:val="both"/>
        <w:rPr>
          <w:sz w:val="24"/>
          <w:szCs w:val="24"/>
        </w:rPr>
      </w:pPr>
    </w:p>
    <w:p w:rsidR="00F31AD6" w:rsidRDefault="00BC32E8" w:rsidP="005D68CE">
      <w:pPr>
        <w:tabs>
          <w:tab w:val="left" w:pos="567"/>
          <w:tab w:val="left" w:pos="1134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177</w:t>
      </w:r>
      <w:r w:rsidR="00F31AD6">
        <w:rPr>
          <w:sz w:val="24"/>
          <w:szCs w:val="24"/>
        </w:rPr>
        <w:t>)</w:t>
      </w:r>
      <w:r w:rsidR="00F31AD6">
        <w:rPr>
          <w:sz w:val="24"/>
          <w:szCs w:val="24"/>
        </w:rPr>
        <w:tab/>
        <w:t>Völker- und europarechtliche Perspektiven auf Flucht (</w:t>
      </w:r>
      <w:r w:rsidR="00B4152E">
        <w:rPr>
          <w:sz w:val="24"/>
          <w:szCs w:val="24"/>
        </w:rPr>
        <w:t>https:</w:t>
      </w:r>
      <w:r w:rsidR="00F31AD6" w:rsidRPr="00341556">
        <w:rPr>
          <w:sz w:val="24"/>
          <w:szCs w:val="24"/>
        </w:rPr>
        <w:t>//jean-monnet-saar.eu/?p=2045</w:t>
      </w:r>
      <w:r w:rsidR="00F31AD6">
        <w:rPr>
          <w:sz w:val="24"/>
          <w:szCs w:val="24"/>
        </w:rPr>
        <w:t>)</w:t>
      </w:r>
    </w:p>
    <w:p w:rsidR="00F31AD6" w:rsidRDefault="00F31AD6" w:rsidP="00F31AD6">
      <w:pPr>
        <w:spacing w:after="120"/>
        <w:jc w:val="both"/>
        <w:rPr>
          <w:sz w:val="24"/>
          <w:szCs w:val="24"/>
        </w:rPr>
      </w:pPr>
    </w:p>
    <w:p w:rsidR="00F31AD6" w:rsidRDefault="00BC32E8" w:rsidP="005D68CE">
      <w:pPr>
        <w:tabs>
          <w:tab w:val="left" w:pos="567"/>
          <w:tab w:val="left" w:pos="1134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178</w:t>
      </w:r>
      <w:r w:rsidR="00F31AD6">
        <w:rPr>
          <w:sz w:val="24"/>
          <w:szCs w:val="24"/>
        </w:rPr>
        <w:t>)</w:t>
      </w:r>
      <w:r w:rsidR="00F31AD6">
        <w:rPr>
          <w:sz w:val="24"/>
          <w:szCs w:val="24"/>
        </w:rPr>
        <w:tab/>
        <w:t>Freiheit und Gleichheit als Herausforderungen für die Schulen in einer pluralist</w:t>
      </w:r>
      <w:r w:rsidR="00F31AD6">
        <w:rPr>
          <w:sz w:val="24"/>
          <w:szCs w:val="24"/>
        </w:rPr>
        <w:t>i</w:t>
      </w:r>
      <w:r w:rsidR="00F31AD6">
        <w:rPr>
          <w:sz w:val="24"/>
          <w:szCs w:val="24"/>
        </w:rPr>
        <w:t>schen Gesellschaft, Saar Expert Paper 11/2018 (</w:t>
      </w:r>
      <w:r w:rsidR="00B4152E">
        <w:rPr>
          <w:sz w:val="24"/>
          <w:szCs w:val="24"/>
        </w:rPr>
        <w:t>https:</w:t>
      </w:r>
      <w:r w:rsidR="00F31AD6" w:rsidRPr="004979F8">
        <w:rPr>
          <w:sz w:val="24"/>
          <w:szCs w:val="24"/>
        </w:rPr>
        <w:t>//jean-monnet-saar.eu/wp-content/uploads/2018/11/Vortrag_SaarExpert_FreiheitundGleichheit.pdf</w:t>
      </w:r>
      <w:r w:rsidR="00F31AD6">
        <w:rPr>
          <w:sz w:val="24"/>
          <w:szCs w:val="24"/>
        </w:rPr>
        <w:t>)</w:t>
      </w:r>
    </w:p>
    <w:p w:rsidR="00F31AD6" w:rsidRDefault="00F31AD6" w:rsidP="00F31AD6">
      <w:pPr>
        <w:tabs>
          <w:tab w:val="left" w:pos="567"/>
          <w:tab w:val="left" w:pos="1134"/>
        </w:tabs>
        <w:spacing w:after="120"/>
        <w:jc w:val="both"/>
        <w:rPr>
          <w:sz w:val="24"/>
          <w:szCs w:val="24"/>
        </w:rPr>
      </w:pPr>
    </w:p>
    <w:p w:rsidR="00F31AD6" w:rsidRPr="00F31AD6" w:rsidRDefault="00F31AD6" w:rsidP="005D68CE">
      <w:pPr>
        <w:pStyle w:val="StandardWeb"/>
        <w:tabs>
          <w:tab w:val="left" w:pos="567"/>
          <w:tab w:val="left" w:pos="1134"/>
        </w:tabs>
        <w:spacing w:before="0" w:beforeAutospacing="0" w:after="120" w:afterAutospacing="0"/>
        <w:rPr>
          <w:rStyle w:val="Fett"/>
          <w:b w:val="0"/>
        </w:rPr>
      </w:pPr>
      <w:r w:rsidRPr="00F31AD6">
        <w:rPr>
          <w:b/>
        </w:rPr>
        <w:tab/>
      </w:r>
      <w:r w:rsidR="00BC32E8">
        <w:t>179</w:t>
      </w:r>
      <w:r w:rsidRPr="00F31AD6">
        <w:t>)</w:t>
      </w:r>
      <w:r w:rsidRPr="00F31AD6">
        <w:tab/>
      </w:r>
      <w:r w:rsidRPr="00F31AD6">
        <w:rPr>
          <w:rStyle w:val="Fett"/>
          <w:b w:val="0"/>
        </w:rPr>
        <w:t>Aufstehen für Europa: Mais dans quelle direction?</w:t>
      </w:r>
      <w:r w:rsidRPr="00F31AD6">
        <w:rPr>
          <w:b/>
        </w:rPr>
        <w:t xml:space="preserve"> </w:t>
      </w:r>
      <w:r w:rsidRPr="00F31AD6">
        <w:rPr>
          <w:rStyle w:val="Fett"/>
          <w:b w:val="0"/>
        </w:rPr>
        <w:t>Überlegungen aus Anlass einer Podiumsdiskussion in der Villa Lessing in Saarbrücken am 14.2.2019, Saar Brief 2/2019 (</w:t>
      </w:r>
      <w:r w:rsidR="00B4152E">
        <w:rPr>
          <w:rStyle w:val="Fett"/>
          <w:b w:val="0"/>
        </w:rPr>
        <w:t>https:</w:t>
      </w:r>
      <w:r w:rsidRPr="00F31AD6">
        <w:rPr>
          <w:rStyle w:val="Fett"/>
          <w:b w:val="0"/>
        </w:rPr>
        <w:t>//jean-monnet-saar.eu/?page_id=2075)</w:t>
      </w:r>
    </w:p>
    <w:p w:rsidR="00F31AD6" w:rsidRDefault="00F31AD6" w:rsidP="00F31AD6">
      <w:pPr>
        <w:pStyle w:val="StandardWeb"/>
        <w:tabs>
          <w:tab w:val="left" w:pos="567"/>
          <w:tab w:val="left" w:pos="1134"/>
        </w:tabs>
        <w:spacing w:before="0" w:beforeAutospacing="0" w:after="120" w:afterAutospacing="0"/>
        <w:rPr>
          <w:b/>
        </w:rPr>
      </w:pPr>
    </w:p>
    <w:p w:rsidR="00F31AD6" w:rsidRDefault="00BC32E8" w:rsidP="005D68CE">
      <w:pPr>
        <w:pStyle w:val="StandardWeb"/>
        <w:tabs>
          <w:tab w:val="left" w:pos="567"/>
          <w:tab w:val="left" w:pos="1134"/>
        </w:tabs>
        <w:spacing w:before="0" w:beforeAutospacing="0" w:after="120" w:afterAutospacing="0"/>
      </w:pPr>
      <w:r>
        <w:tab/>
        <w:t>180</w:t>
      </w:r>
      <w:r w:rsidR="00F31AD6" w:rsidRPr="00EA2BD6">
        <w:t>)</w:t>
      </w:r>
      <w:r w:rsidR="00F31AD6" w:rsidRPr="00EA2BD6">
        <w:tab/>
      </w:r>
      <w:r w:rsidR="00F31AD6">
        <w:t>Europawahl 2019 und das Brexit-Drama, Saar-Brief vom 15.4.2019 (</w:t>
      </w:r>
      <w:r w:rsidR="00B4152E">
        <w:t>https:</w:t>
      </w:r>
      <w:r w:rsidR="00F31AD6" w:rsidRPr="00EA2BD6">
        <w:t>//jean-monnet-saar.eu/?page_id=2088</w:t>
      </w:r>
      <w:r w:rsidR="00F31AD6">
        <w:t>) (zusammen mit Katharina Koch)</w:t>
      </w:r>
    </w:p>
    <w:p w:rsidR="00F31AD6" w:rsidRDefault="00F31AD6" w:rsidP="00F31AD6">
      <w:pPr>
        <w:pStyle w:val="StandardWeb"/>
        <w:tabs>
          <w:tab w:val="left" w:pos="567"/>
          <w:tab w:val="left" w:pos="1134"/>
        </w:tabs>
        <w:spacing w:before="0" w:beforeAutospacing="0" w:after="120" w:afterAutospacing="0"/>
      </w:pPr>
    </w:p>
    <w:p w:rsidR="00F31AD6" w:rsidRDefault="00BC32E8" w:rsidP="005D68CE">
      <w:pPr>
        <w:pStyle w:val="StandardWeb"/>
        <w:tabs>
          <w:tab w:val="left" w:pos="567"/>
          <w:tab w:val="left" w:pos="1134"/>
        </w:tabs>
        <w:spacing w:before="0" w:beforeAutospacing="0" w:after="120" w:afterAutospacing="0"/>
      </w:pPr>
      <w:r>
        <w:tab/>
        <w:t>181</w:t>
      </w:r>
      <w:r w:rsidR="00F31AD6">
        <w:t>)</w:t>
      </w:r>
      <w:r w:rsidR="00F31AD6">
        <w:tab/>
        <w:t>Ein Update zum Brexit, Saar-Brief vom 2.5.2019 (</w:t>
      </w:r>
      <w:r w:rsidR="00B4152E">
        <w:t>https:</w:t>
      </w:r>
      <w:r w:rsidR="00F31AD6" w:rsidRPr="00734D7B">
        <w:t>//jean-monnet-saar.eu/?page_id=2178</w:t>
      </w:r>
      <w:r w:rsidR="00F31AD6">
        <w:t>)</w:t>
      </w:r>
    </w:p>
    <w:p w:rsidR="00F31AD6" w:rsidRDefault="00F31AD6" w:rsidP="00F31AD6">
      <w:pPr>
        <w:pStyle w:val="StandardWeb"/>
        <w:tabs>
          <w:tab w:val="left" w:pos="567"/>
          <w:tab w:val="left" w:pos="1134"/>
        </w:tabs>
        <w:spacing w:before="0" w:beforeAutospacing="0" w:after="120" w:afterAutospacing="0"/>
        <w:rPr>
          <w:bCs/>
        </w:rPr>
      </w:pPr>
    </w:p>
    <w:p w:rsidR="00F31AD6" w:rsidRDefault="00BC32E8" w:rsidP="005D68CE">
      <w:pPr>
        <w:pStyle w:val="StandardWeb"/>
        <w:tabs>
          <w:tab w:val="left" w:pos="567"/>
          <w:tab w:val="left" w:pos="1134"/>
        </w:tabs>
        <w:spacing w:before="0" w:beforeAutospacing="0" w:after="120" w:afterAutospacing="0"/>
        <w:jc w:val="both"/>
        <w:rPr>
          <w:bCs/>
        </w:rPr>
      </w:pPr>
      <w:r>
        <w:rPr>
          <w:bCs/>
        </w:rPr>
        <w:tab/>
        <w:t>182</w:t>
      </w:r>
      <w:r w:rsidR="00F31AD6" w:rsidRPr="00F36B2E">
        <w:rPr>
          <w:bCs/>
        </w:rPr>
        <w:t>)</w:t>
      </w:r>
      <w:r w:rsidR="00F31AD6" w:rsidRPr="00F36B2E">
        <w:rPr>
          <w:bCs/>
        </w:rPr>
        <w:tab/>
      </w:r>
      <w:r w:rsidR="00F31AD6" w:rsidRPr="00492CAB">
        <w:rPr>
          <w:bCs/>
          <w:kern w:val="36"/>
        </w:rPr>
        <w:t>Angeblichen und echten Krisen zum Trotz: Die Europäische Union ist das bisher beste politische Projekt der Europäerinnen und Europäer</w:t>
      </w:r>
      <w:r w:rsidR="00F31AD6">
        <w:rPr>
          <w:bCs/>
          <w:kern w:val="36"/>
        </w:rPr>
        <w:t>, Saar Brief vom 13.5.2019</w:t>
      </w:r>
      <w:r w:rsidR="00F31AD6" w:rsidRPr="00F36B2E">
        <w:rPr>
          <w:bCs/>
        </w:rPr>
        <w:t xml:space="preserve"> (</w:t>
      </w:r>
      <w:r w:rsidR="00B4152E">
        <w:rPr>
          <w:bCs/>
        </w:rPr>
        <w:t>https:</w:t>
      </w:r>
      <w:r w:rsidR="00F31AD6" w:rsidRPr="00F36B2E">
        <w:rPr>
          <w:bCs/>
        </w:rPr>
        <w:t>//jean-monnet-saar.eu/?page_id=2187)</w:t>
      </w:r>
    </w:p>
    <w:p w:rsidR="00F31AD6" w:rsidRDefault="00F31AD6" w:rsidP="00F31AD6">
      <w:pPr>
        <w:pStyle w:val="StandardWeb"/>
        <w:tabs>
          <w:tab w:val="left" w:pos="567"/>
          <w:tab w:val="left" w:pos="1134"/>
        </w:tabs>
        <w:spacing w:before="0" w:beforeAutospacing="0" w:after="120" w:afterAutospacing="0"/>
        <w:jc w:val="both"/>
        <w:rPr>
          <w:bCs/>
        </w:rPr>
      </w:pPr>
    </w:p>
    <w:p w:rsidR="00F31AD6" w:rsidRDefault="005D68CE" w:rsidP="005D68CE">
      <w:pPr>
        <w:pStyle w:val="StandardWeb"/>
        <w:tabs>
          <w:tab w:val="left" w:pos="567"/>
          <w:tab w:val="left" w:pos="1134"/>
        </w:tabs>
        <w:spacing w:before="0" w:beforeAutospacing="0" w:after="120" w:afterAutospacing="0"/>
        <w:jc w:val="both"/>
        <w:rPr>
          <w:bCs/>
        </w:rPr>
      </w:pPr>
      <w:r>
        <w:rPr>
          <w:bCs/>
        </w:rPr>
        <w:tab/>
      </w:r>
      <w:r w:rsidR="00BC32E8">
        <w:rPr>
          <w:bCs/>
        </w:rPr>
        <w:t>183</w:t>
      </w:r>
      <w:r w:rsidR="00F31AD6">
        <w:rPr>
          <w:bCs/>
        </w:rPr>
        <w:t>)</w:t>
      </w:r>
      <w:r w:rsidR="00F31AD6">
        <w:rPr>
          <w:bCs/>
        </w:rPr>
        <w:tab/>
        <w:t>Aktuelles-Beitrag zur Monitor-Sendung „Hilflos, obdachlos, chancenlos: Das Elend der Flüchtlinge in Italien“ (23.5.2019) (</w:t>
      </w:r>
      <w:r w:rsidR="00B4152E">
        <w:rPr>
          <w:bCs/>
        </w:rPr>
        <w:t>https:</w:t>
      </w:r>
      <w:r w:rsidR="00F31AD6" w:rsidRPr="00CF2650">
        <w:rPr>
          <w:bCs/>
        </w:rPr>
        <w:t>//jean-monnet-saar.eu/</w:t>
      </w:r>
      <w:r w:rsidR="00F31AD6">
        <w:rPr>
          <w:bCs/>
        </w:rPr>
        <w:t xml:space="preserve"> [26.5.2019])</w:t>
      </w:r>
    </w:p>
    <w:p w:rsidR="00F31AD6" w:rsidRDefault="00F31AD6" w:rsidP="00F31AD6">
      <w:pPr>
        <w:pStyle w:val="StandardWeb"/>
        <w:tabs>
          <w:tab w:val="left" w:pos="567"/>
          <w:tab w:val="left" w:pos="1134"/>
        </w:tabs>
        <w:spacing w:before="0" w:beforeAutospacing="0" w:after="120" w:afterAutospacing="0"/>
        <w:jc w:val="both"/>
        <w:rPr>
          <w:bCs/>
        </w:rPr>
      </w:pPr>
    </w:p>
    <w:p w:rsidR="00F31AD6" w:rsidRDefault="00BC32E8" w:rsidP="005D68CE">
      <w:pPr>
        <w:pStyle w:val="StandardWeb"/>
        <w:tabs>
          <w:tab w:val="left" w:pos="567"/>
          <w:tab w:val="left" w:pos="1134"/>
        </w:tabs>
        <w:spacing w:before="0" w:beforeAutospacing="0" w:after="120" w:afterAutospacing="0"/>
        <w:jc w:val="both"/>
        <w:rPr>
          <w:bCs/>
        </w:rPr>
      </w:pPr>
      <w:r>
        <w:rPr>
          <w:bCs/>
        </w:rPr>
        <w:tab/>
        <w:t>184</w:t>
      </w:r>
      <w:r w:rsidR="00F31AD6">
        <w:rPr>
          <w:bCs/>
        </w:rPr>
        <w:t>)</w:t>
      </w:r>
      <w:r w:rsidR="00F31AD6">
        <w:rPr>
          <w:bCs/>
        </w:rPr>
        <w:tab/>
        <w:t>Noch ist der Rechtsstaat nicht verloren: Der EuGH stellt eine Verletzung der ric</w:t>
      </w:r>
      <w:r w:rsidR="00F31AD6">
        <w:rPr>
          <w:bCs/>
        </w:rPr>
        <w:t>h</w:t>
      </w:r>
      <w:r w:rsidR="00F31AD6">
        <w:rPr>
          <w:bCs/>
        </w:rPr>
        <w:t>terlichen Unabhängigkeit durch den polnischen Gesetzgeber fest, Saar Brief vom 25.6.2019 (</w:t>
      </w:r>
      <w:r w:rsidR="00B4152E">
        <w:rPr>
          <w:bCs/>
        </w:rPr>
        <w:t>https:</w:t>
      </w:r>
      <w:r w:rsidR="00F31AD6" w:rsidRPr="00AE757E">
        <w:rPr>
          <w:bCs/>
        </w:rPr>
        <w:t>//j</w:t>
      </w:r>
      <w:r w:rsidR="00F31AD6">
        <w:rPr>
          <w:bCs/>
        </w:rPr>
        <w:t>ean-monnet-saar.eu/?page_id=2222)</w:t>
      </w:r>
    </w:p>
    <w:p w:rsidR="00F31AD6" w:rsidRDefault="00F31AD6" w:rsidP="00F31AD6">
      <w:pPr>
        <w:pStyle w:val="StandardWeb"/>
        <w:tabs>
          <w:tab w:val="left" w:pos="567"/>
          <w:tab w:val="left" w:pos="1134"/>
        </w:tabs>
        <w:spacing w:before="0" w:beforeAutospacing="0" w:after="120" w:afterAutospacing="0"/>
        <w:jc w:val="both"/>
        <w:rPr>
          <w:bCs/>
        </w:rPr>
      </w:pPr>
    </w:p>
    <w:p w:rsidR="00F31AD6" w:rsidRDefault="00F31AD6" w:rsidP="005D68CE">
      <w:pPr>
        <w:pStyle w:val="StandardWeb"/>
        <w:tabs>
          <w:tab w:val="left" w:pos="567"/>
          <w:tab w:val="left" w:pos="1134"/>
        </w:tabs>
        <w:spacing w:before="0" w:beforeAutospacing="0" w:after="120" w:afterAutospacing="0"/>
        <w:jc w:val="both"/>
        <w:rPr>
          <w:bCs/>
          <w:lang w:val="en-GB"/>
        </w:rPr>
      </w:pPr>
      <w:r>
        <w:rPr>
          <w:bCs/>
        </w:rPr>
        <w:tab/>
      </w:r>
      <w:r w:rsidR="00BC32E8">
        <w:rPr>
          <w:bCs/>
          <w:lang w:val="en-GB"/>
        </w:rPr>
        <w:t>185</w:t>
      </w:r>
      <w:r w:rsidRPr="00B370C4">
        <w:rPr>
          <w:bCs/>
          <w:lang w:val="en-GB"/>
        </w:rPr>
        <w:t>)</w:t>
      </w:r>
      <w:r w:rsidRPr="00B370C4">
        <w:rPr>
          <w:bCs/>
          <w:lang w:val="en-GB"/>
        </w:rPr>
        <w:tab/>
        <w:t xml:space="preserve">Conference Report: The European Union as Protector and Promoter of Equality, Saar Expert Paper vom 12.7.2019 (zusammen mit Simon Biehl, Katharina Koch, Dennis Traudt und Laura Woll) </w:t>
      </w:r>
      <w:r>
        <w:rPr>
          <w:bCs/>
          <w:lang w:val="en-GB"/>
        </w:rPr>
        <w:t>(</w:t>
      </w:r>
      <w:r w:rsidR="00B4152E">
        <w:rPr>
          <w:bCs/>
          <w:lang w:val="en-GB"/>
        </w:rPr>
        <w:t>https:</w:t>
      </w:r>
      <w:r w:rsidRPr="00AF0251">
        <w:rPr>
          <w:bCs/>
          <w:lang w:val="en-GB"/>
        </w:rPr>
        <w:t>//jean-monnet-saar.eu/wp-content/uploads/2019/07/ExpertPaper_Tagungsbericht2019_final.pdf</w:t>
      </w:r>
      <w:r>
        <w:rPr>
          <w:bCs/>
          <w:lang w:val="en-GB"/>
        </w:rPr>
        <w:t>)</w:t>
      </w:r>
    </w:p>
    <w:p w:rsidR="005D68CE" w:rsidRDefault="005D68CE" w:rsidP="00F31AD6">
      <w:pPr>
        <w:pStyle w:val="StandardWeb"/>
        <w:tabs>
          <w:tab w:val="left" w:pos="709"/>
          <w:tab w:val="left" w:pos="1134"/>
        </w:tabs>
        <w:spacing w:before="0" w:beforeAutospacing="0" w:after="120" w:afterAutospacing="0"/>
        <w:jc w:val="both"/>
        <w:rPr>
          <w:bCs/>
          <w:lang w:val="en-GB"/>
        </w:rPr>
      </w:pPr>
    </w:p>
    <w:p w:rsidR="005D68CE" w:rsidRDefault="005D68CE" w:rsidP="005D68CE">
      <w:pPr>
        <w:pStyle w:val="StandardWeb"/>
        <w:tabs>
          <w:tab w:val="left" w:pos="567"/>
          <w:tab w:val="left" w:pos="1134"/>
        </w:tabs>
        <w:spacing w:before="0" w:beforeAutospacing="0" w:after="120" w:afterAutospacing="0"/>
        <w:jc w:val="both"/>
        <w:rPr>
          <w:rStyle w:val="object"/>
        </w:rPr>
      </w:pPr>
      <w:r w:rsidRPr="005D68CE">
        <w:rPr>
          <w:bCs/>
          <w:lang w:val="en-GB"/>
        </w:rPr>
        <w:tab/>
      </w:r>
      <w:r w:rsidR="00BC32E8">
        <w:rPr>
          <w:bCs/>
        </w:rPr>
        <w:t>186</w:t>
      </w:r>
      <w:r w:rsidRPr="009426C6">
        <w:rPr>
          <w:bCs/>
        </w:rPr>
        <w:t>)</w:t>
      </w:r>
      <w:r w:rsidRPr="009426C6">
        <w:rPr>
          <w:bCs/>
        </w:rPr>
        <w:tab/>
        <w:t>Mit der Axt an die W</w:t>
      </w:r>
      <w:r>
        <w:rPr>
          <w:bCs/>
        </w:rPr>
        <w:t>urzel der Union des Rechts – Vier Fragen an das Bundesve</w:t>
      </w:r>
      <w:r>
        <w:rPr>
          <w:bCs/>
        </w:rPr>
        <w:t>r</w:t>
      </w:r>
      <w:r>
        <w:rPr>
          <w:bCs/>
        </w:rPr>
        <w:t>fassungsgericht zum 70. Europa-Tag, Saar Brief vom 9.5.2020 (</w:t>
      </w:r>
      <w:hyperlink r:id="rId9" w:history="1">
        <w:r w:rsidRPr="00682458">
          <w:rPr>
            <w:rStyle w:val="Hyperlink"/>
          </w:rPr>
          <w:t>https://jean-monnet-saar.eu/?page_id=2642</w:t>
        </w:r>
      </w:hyperlink>
      <w:r>
        <w:rPr>
          <w:rStyle w:val="object"/>
        </w:rPr>
        <w:t>)</w:t>
      </w:r>
    </w:p>
    <w:p w:rsidR="005D68CE" w:rsidRDefault="005D68CE" w:rsidP="005D68CE">
      <w:pPr>
        <w:pStyle w:val="StandardWeb"/>
        <w:tabs>
          <w:tab w:val="left" w:pos="567"/>
          <w:tab w:val="left" w:pos="1134"/>
        </w:tabs>
        <w:spacing w:before="0" w:beforeAutospacing="0" w:after="120" w:afterAutospacing="0"/>
        <w:jc w:val="both"/>
        <w:rPr>
          <w:rStyle w:val="object"/>
        </w:rPr>
      </w:pPr>
    </w:p>
    <w:p w:rsidR="005D68CE" w:rsidRDefault="005D68CE" w:rsidP="005D68CE">
      <w:pPr>
        <w:tabs>
          <w:tab w:val="left" w:pos="567"/>
          <w:tab w:val="left" w:pos="1134"/>
        </w:tabs>
        <w:autoSpaceDE w:val="0"/>
        <w:autoSpaceDN w:val="0"/>
        <w:adjustRightInd w:val="0"/>
        <w:spacing w:after="120"/>
        <w:rPr>
          <w:sz w:val="24"/>
          <w:szCs w:val="24"/>
          <w:lang w:val="en-GB"/>
        </w:rPr>
      </w:pPr>
      <w:r w:rsidRPr="00431DF3">
        <w:rPr>
          <w:rStyle w:val="object"/>
          <w:sz w:val="24"/>
          <w:szCs w:val="24"/>
        </w:rPr>
        <w:lastRenderedPageBreak/>
        <w:tab/>
      </w:r>
      <w:r w:rsidR="00BC32E8">
        <w:rPr>
          <w:rStyle w:val="object"/>
          <w:sz w:val="24"/>
          <w:szCs w:val="24"/>
          <w:lang w:val="en-GB"/>
        </w:rPr>
        <w:t>187</w:t>
      </w:r>
      <w:r w:rsidRPr="00431DF3">
        <w:rPr>
          <w:rStyle w:val="object"/>
          <w:sz w:val="24"/>
          <w:szCs w:val="24"/>
          <w:lang w:val="en-GB"/>
        </w:rPr>
        <w:t>)</w:t>
      </w:r>
      <w:r w:rsidRPr="00431DF3">
        <w:rPr>
          <w:rStyle w:val="object"/>
          <w:sz w:val="24"/>
          <w:szCs w:val="24"/>
          <w:lang w:val="en-GB"/>
        </w:rPr>
        <w:tab/>
      </w:r>
      <w:r w:rsidRPr="00431DF3">
        <w:rPr>
          <w:sz w:val="24"/>
          <w:szCs w:val="24"/>
          <w:lang w:val="en-GB"/>
        </w:rPr>
        <w:t>Putting the Axe to the Root of the European Rule of Law – The Recent Judgment of the German Federal Constitutional Court on the Public Sector Asset Purchase Programme</w:t>
      </w:r>
      <w:r>
        <w:rPr>
          <w:sz w:val="24"/>
          <w:szCs w:val="24"/>
          <w:lang w:val="en-GB"/>
        </w:rPr>
        <w:t xml:space="preserve"> </w:t>
      </w:r>
      <w:r w:rsidRPr="00431DF3">
        <w:rPr>
          <w:sz w:val="24"/>
          <w:szCs w:val="24"/>
          <w:lang w:val="en-GB"/>
        </w:rPr>
        <w:t>of the European Cen</w:t>
      </w:r>
      <w:r>
        <w:rPr>
          <w:sz w:val="24"/>
          <w:szCs w:val="24"/>
          <w:lang w:val="en-GB"/>
        </w:rPr>
        <w:t>tral Bank, Saar Expert Paper 06/20 EN (</w:t>
      </w:r>
      <w:hyperlink r:id="rId10" w:history="1">
        <w:r w:rsidRPr="00682458">
          <w:rPr>
            <w:rStyle w:val="Hyperlink"/>
            <w:sz w:val="24"/>
            <w:szCs w:val="24"/>
            <w:lang w:val="en-GB"/>
          </w:rPr>
          <w:t>https://jean-monnet-saar.eu/wp-content/uploads/2020/06/ECB_Judgment_2020.pdf</w:t>
        </w:r>
      </w:hyperlink>
      <w:r>
        <w:rPr>
          <w:sz w:val="24"/>
          <w:szCs w:val="24"/>
          <w:lang w:val="en-GB"/>
        </w:rPr>
        <w:t>)</w:t>
      </w:r>
    </w:p>
    <w:p w:rsidR="005D68CE" w:rsidRDefault="005D68CE" w:rsidP="005D68CE">
      <w:pPr>
        <w:autoSpaceDE w:val="0"/>
        <w:autoSpaceDN w:val="0"/>
        <w:adjustRightInd w:val="0"/>
        <w:spacing w:after="120"/>
        <w:rPr>
          <w:sz w:val="24"/>
          <w:szCs w:val="24"/>
          <w:lang w:val="en-GB"/>
        </w:rPr>
      </w:pPr>
    </w:p>
    <w:p w:rsidR="005D68CE" w:rsidRDefault="005D68CE" w:rsidP="005D68CE">
      <w:pPr>
        <w:tabs>
          <w:tab w:val="left" w:pos="567"/>
          <w:tab w:val="left" w:pos="1134"/>
        </w:tabs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  <w:lang w:val="en-GB"/>
        </w:rPr>
        <w:tab/>
      </w:r>
      <w:r w:rsidR="00BC32E8">
        <w:rPr>
          <w:sz w:val="24"/>
          <w:szCs w:val="24"/>
        </w:rPr>
        <w:t>188</w:t>
      </w:r>
      <w:r w:rsidRPr="00D52AF3">
        <w:rPr>
          <w:sz w:val="24"/>
          <w:szCs w:val="24"/>
        </w:rPr>
        <w:t>)</w:t>
      </w:r>
      <w:r w:rsidRPr="00D52AF3">
        <w:rPr>
          <w:sz w:val="24"/>
          <w:szCs w:val="24"/>
        </w:rPr>
        <w:tab/>
        <w:t xml:space="preserve">Neues zum Übereinkommen vom 19.2.2013 über ein </w:t>
      </w:r>
      <w:r>
        <w:rPr>
          <w:sz w:val="24"/>
          <w:szCs w:val="24"/>
        </w:rPr>
        <w:t>Einheitliches Patentgericht, Saar Brief vom 13.7.2020 (</w:t>
      </w:r>
      <w:hyperlink r:id="rId11" w:history="1">
        <w:r w:rsidRPr="00682458">
          <w:rPr>
            <w:rStyle w:val="Hyperlink"/>
            <w:sz w:val="24"/>
            <w:szCs w:val="24"/>
          </w:rPr>
          <w:t>https://jean-monnet-saar.eu/?page_id=2726</w:t>
        </w:r>
      </w:hyperlink>
      <w:r>
        <w:rPr>
          <w:sz w:val="24"/>
          <w:szCs w:val="24"/>
        </w:rPr>
        <w:t>)</w:t>
      </w:r>
    </w:p>
    <w:p w:rsidR="005D68CE" w:rsidRDefault="005D68CE" w:rsidP="005D68CE">
      <w:pPr>
        <w:autoSpaceDE w:val="0"/>
        <w:autoSpaceDN w:val="0"/>
        <w:adjustRightInd w:val="0"/>
        <w:spacing w:after="120"/>
        <w:rPr>
          <w:sz w:val="24"/>
          <w:szCs w:val="24"/>
        </w:rPr>
      </w:pPr>
    </w:p>
    <w:p w:rsidR="005D68CE" w:rsidRDefault="005D68CE" w:rsidP="005D68CE">
      <w:pPr>
        <w:tabs>
          <w:tab w:val="left" w:pos="567"/>
          <w:tab w:val="left" w:pos="1134"/>
        </w:tabs>
        <w:autoSpaceDE w:val="0"/>
        <w:autoSpaceDN w:val="0"/>
        <w:adjustRightInd w:val="0"/>
        <w:spacing w:after="120"/>
        <w:rPr>
          <w:sz w:val="24"/>
          <w:szCs w:val="24"/>
          <w:lang w:val="en-GB"/>
        </w:rPr>
      </w:pPr>
      <w:r>
        <w:rPr>
          <w:sz w:val="24"/>
          <w:szCs w:val="24"/>
        </w:rPr>
        <w:tab/>
      </w:r>
      <w:r w:rsidR="00BC32E8">
        <w:rPr>
          <w:sz w:val="24"/>
          <w:szCs w:val="24"/>
          <w:lang w:val="en-GB"/>
        </w:rPr>
        <w:t>189</w:t>
      </w:r>
      <w:r w:rsidRPr="0004271B">
        <w:rPr>
          <w:sz w:val="24"/>
          <w:szCs w:val="24"/>
          <w:lang w:val="en-GB"/>
        </w:rPr>
        <w:t>)</w:t>
      </w:r>
      <w:r w:rsidRPr="0004271B">
        <w:rPr>
          <w:sz w:val="24"/>
          <w:szCs w:val="24"/>
          <w:lang w:val="en-GB"/>
        </w:rPr>
        <w:tab/>
        <w:t xml:space="preserve">„State of the European </w:t>
      </w:r>
      <w:r>
        <w:rPr>
          <w:sz w:val="24"/>
          <w:szCs w:val="24"/>
          <w:lang w:val="en-GB"/>
        </w:rPr>
        <w:t xml:space="preserve">Union” – Overview for the Class of 2021 of the Europa-Institut, Saar Brief vom 22.9.2020 </w:t>
      </w:r>
      <w:r w:rsidRPr="0004271B">
        <w:rPr>
          <w:sz w:val="24"/>
          <w:szCs w:val="24"/>
          <w:lang w:val="en-GB"/>
        </w:rPr>
        <w:t>(</w:t>
      </w:r>
      <w:hyperlink r:id="rId12" w:history="1">
        <w:r w:rsidRPr="00682458">
          <w:rPr>
            <w:rStyle w:val="Hyperlink"/>
            <w:sz w:val="24"/>
            <w:szCs w:val="24"/>
            <w:lang w:val="en-GB"/>
          </w:rPr>
          <w:t>https://jean-monnet-saar.eu/?page_id=2803</w:t>
        </w:r>
      </w:hyperlink>
      <w:r w:rsidRPr="0004271B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</w:t>
      </w:r>
    </w:p>
    <w:p w:rsidR="005D68CE" w:rsidRDefault="005D68CE" w:rsidP="005D68CE">
      <w:pPr>
        <w:tabs>
          <w:tab w:val="left" w:pos="567"/>
          <w:tab w:val="left" w:pos="1134"/>
        </w:tabs>
        <w:autoSpaceDE w:val="0"/>
        <w:autoSpaceDN w:val="0"/>
        <w:adjustRightInd w:val="0"/>
        <w:spacing w:after="120"/>
        <w:rPr>
          <w:sz w:val="24"/>
          <w:szCs w:val="24"/>
          <w:lang w:val="en-GB"/>
        </w:rPr>
      </w:pPr>
    </w:p>
    <w:p w:rsidR="005D68CE" w:rsidRDefault="005D68CE" w:rsidP="005D68CE">
      <w:pPr>
        <w:tabs>
          <w:tab w:val="left" w:pos="567"/>
          <w:tab w:val="left" w:pos="1134"/>
        </w:tabs>
        <w:spacing w:before="100" w:beforeAutospacing="1" w:after="120"/>
        <w:outlineLvl w:val="0"/>
        <w:rPr>
          <w:sz w:val="24"/>
          <w:szCs w:val="24"/>
        </w:rPr>
      </w:pPr>
      <w:r w:rsidRPr="00FC6B98">
        <w:rPr>
          <w:sz w:val="24"/>
          <w:szCs w:val="24"/>
          <w:lang w:val="en-GB"/>
        </w:rPr>
        <w:tab/>
      </w:r>
      <w:r w:rsidR="00BC32E8">
        <w:rPr>
          <w:sz w:val="24"/>
          <w:szCs w:val="24"/>
        </w:rPr>
        <w:t>190</w:t>
      </w:r>
      <w:r w:rsidRPr="00FC6B98">
        <w:rPr>
          <w:sz w:val="24"/>
          <w:szCs w:val="24"/>
        </w:rPr>
        <w:t>)</w:t>
      </w:r>
      <w:r w:rsidRPr="00FC6B98">
        <w:rPr>
          <w:sz w:val="24"/>
          <w:szCs w:val="24"/>
        </w:rPr>
        <w:tab/>
      </w:r>
      <w:r w:rsidRPr="00273DB4">
        <w:rPr>
          <w:bCs/>
          <w:kern w:val="36"/>
          <w:sz w:val="24"/>
          <w:szCs w:val="24"/>
        </w:rPr>
        <w:t>Faktische Auslandsreiseverbote in der Pandemie</w:t>
      </w:r>
      <w:r w:rsidRPr="00FC6B98">
        <w:rPr>
          <w:bCs/>
          <w:kern w:val="36"/>
          <w:sz w:val="24"/>
          <w:szCs w:val="24"/>
        </w:rPr>
        <w:t xml:space="preserve"> – </w:t>
      </w:r>
      <w:r w:rsidRPr="00273DB4">
        <w:rPr>
          <w:bCs/>
          <w:sz w:val="24"/>
          <w:szCs w:val="24"/>
        </w:rPr>
        <w:t>Eine europarechtliche Ergä</w:t>
      </w:r>
      <w:r w:rsidRPr="00273DB4">
        <w:rPr>
          <w:bCs/>
          <w:sz w:val="24"/>
          <w:szCs w:val="24"/>
        </w:rPr>
        <w:t>n</w:t>
      </w:r>
      <w:r w:rsidRPr="00273DB4">
        <w:rPr>
          <w:bCs/>
          <w:sz w:val="24"/>
          <w:szCs w:val="24"/>
        </w:rPr>
        <w:t>zung zum Beschluss des OVG Nordrhein-Westfalen vom 20.11.2020</w:t>
      </w:r>
      <w:r>
        <w:rPr>
          <w:bCs/>
          <w:sz w:val="24"/>
          <w:szCs w:val="24"/>
        </w:rPr>
        <w:t xml:space="preserve">, Saar Brief vom 23.11.2020 </w:t>
      </w:r>
      <w:r w:rsidRPr="00FC6B98">
        <w:rPr>
          <w:sz w:val="24"/>
          <w:szCs w:val="24"/>
        </w:rPr>
        <w:t>(</w:t>
      </w:r>
      <w:hyperlink r:id="rId13" w:history="1">
        <w:r w:rsidRPr="00682458">
          <w:rPr>
            <w:rStyle w:val="Hyperlink"/>
            <w:sz w:val="24"/>
            <w:szCs w:val="24"/>
          </w:rPr>
          <w:t>https://jean-monnet-saar.eu/?page_id=2956</w:t>
        </w:r>
      </w:hyperlink>
      <w:r w:rsidRPr="00FC6B9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5D68CE" w:rsidRDefault="005D68CE" w:rsidP="005D68CE">
      <w:pPr>
        <w:tabs>
          <w:tab w:val="left" w:pos="567"/>
          <w:tab w:val="left" w:pos="1134"/>
        </w:tabs>
        <w:spacing w:before="100" w:beforeAutospacing="1" w:after="120"/>
        <w:outlineLvl w:val="0"/>
        <w:rPr>
          <w:sz w:val="24"/>
          <w:szCs w:val="24"/>
        </w:rPr>
      </w:pPr>
    </w:p>
    <w:p w:rsidR="005D68CE" w:rsidRDefault="005D68CE" w:rsidP="005D68CE">
      <w:pPr>
        <w:tabs>
          <w:tab w:val="left" w:pos="567"/>
          <w:tab w:val="left" w:pos="1134"/>
        </w:tabs>
        <w:spacing w:after="120"/>
        <w:rPr>
          <w:sz w:val="24"/>
          <w:szCs w:val="24"/>
          <w:lang w:val="en-GB"/>
        </w:rPr>
      </w:pPr>
      <w:r w:rsidRPr="00653FCC">
        <w:rPr>
          <w:sz w:val="24"/>
          <w:szCs w:val="24"/>
        </w:rPr>
        <w:tab/>
      </w:r>
      <w:r w:rsidR="00BC32E8">
        <w:rPr>
          <w:sz w:val="24"/>
          <w:szCs w:val="24"/>
          <w:lang w:val="en-GB"/>
        </w:rPr>
        <w:t>191</w:t>
      </w:r>
      <w:r w:rsidRPr="008817E5">
        <w:rPr>
          <w:sz w:val="24"/>
          <w:szCs w:val="24"/>
          <w:lang w:val="en-GB"/>
        </w:rPr>
        <w:t>)</w:t>
      </w:r>
      <w:r w:rsidRPr="008817E5">
        <w:rPr>
          <w:sz w:val="24"/>
          <w:szCs w:val="24"/>
          <w:lang w:val="en-GB"/>
        </w:rPr>
        <w:tab/>
        <w:t>Treaties, Multilateral, Reservations to, in: Rüdiger Wolfrum (ed.), The Max Planck Encyclopedia of Public International L</w:t>
      </w:r>
      <w:r>
        <w:rPr>
          <w:sz w:val="24"/>
          <w:szCs w:val="24"/>
          <w:lang w:val="en-GB"/>
        </w:rPr>
        <w:t>aw – Update September 2020 (Oxford Univers</w:t>
      </w:r>
      <w:r>
        <w:rPr>
          <w:sz w:val="24"/>
          <w:szCs w:val="24"/>
          <w:lang w:val="en-GB"/>
        </w:rPr>
        <w:t>i</w:t>
      </w:r>
      <w:r>
        <w:rPr>
          <w:sz w:val="24"/>
          <w:szCs w:val="24"/>
          <w:lang w:val="en-GB"/>
        </w:rPr>
        <w:t>ty Press 2020</w:t>
      </w:r>
      <w:r w:rsidRPr="008817E5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>, online edition (</w:t>
      </w:r>
      <w:r w:rsidRPr="0050311B">
        <w:rPr>
          <w:sz w:val="24"/>
          <w:szCs w:val="24"/>
          <w:lang w:val="en-GB"/>
        </w:rPr>
        <w:t>https://opil.ouplaw.com/view/10.1093/law:epil/9780199231690/law-9780199231690-e1680</w:t>
      </w:r>
      <w:r>
        <w:rPr>
          <w:sz w:val="24"/>
          <w:szCs w:val="24"/>
          <w:lang w:val="en-GB"/>
        </w:rPr>
        <w:t>)</w:t>
      </w:r>
    </w:p>
    <w:p w:rsidR="005D68CE" w:rsidRDefault="005D68CE" w:rsidP="005D68CE">
      <w:pPr>
        <w:spacing w:after="120"/>
        <w:rPr>
          <w:sz w:val="24"/>
          <w:szCs w:val="24"/>
          <w:lang w:val="en-GB"/>
        </w:rPr>
      </w:pPr>
    </w:p>
    <w:p w:rsidR="005D68CE" w:rsidRDefault="00BC32E8" w:rsidP="005D68CE">
      <w:pPr>
        <w:tabs>
          <w:tab w:val="left" w:pos="567"/>
          <w:tab w:val="left" w:pos="1134"/>
        </w:tabs>
        <w:spacing w:after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>192</w:t>
      </w:r>
      <w:r w:rsidR="005D68CE">
        <w:rPr>
          <w:sz w:val="24"/>
          <w:szCs w:val="24"/>
          <w:lang w:val="en-GB"/>
        </w:rPr>
        <w:t>)</w:t>
      </w:r>
      <w:r w:rsidR="005D68CE">
        <w:rPr>
          <w:sz w:val="24"/>
          <w:szCs w:val="24"/>
          <w:lang w:val="en-GB"/>
        </w:rPr>
        <w:tab/>
        <w:t xml:space="preserve">Foreign Relations Law, </w:t>
      </w:r>
      <w:r w:rsidR="005D68CE" w:rsidRPr="008817E5">
        <w:rPr>
          <w:sz w:val="24"/>
          <w:szCs w:val="24"/>
          <w:lang w:val="en-GB"/>
        </w:rPr>
        <w:t>in: Rüdiger Wolfrum (ed.), The Max Planck Encyclopedia of Public International L</w:t>
      </w:r>
      <w:r w:rsidR="005D68CE">
        <w:rPr>
          <w:sz w:val="24"/>
          <w:szCs w:val="24"/>
          <w:lang w:val="en-GB"/>
        </w:rPr>
        <w:t>aw – Update September 2020 (Oxford University Press 2020</w:t>
      </w:r>
      <w:r w:rsidR="005D68CE" w:rsidRPr="008817E5">
        <w:rPr>
          <w:sz w:val="24"/>
          <w:szCs w:val="24"/>
          <w:lang w:val="en-GB"/>
        </w:rPr>
        <w:t>), online edition (</w:t>
      </w:r>
      <w:r w:rsidR="005D68CE" w:rsidRPr="0050311B">
        <w:rPr>
          <w:sz w:val="24"/>
          <w:szCs w:val="24"/>
          <w:lang w:val="en-GB"/>
        </w:rPr>
        <w:t>https://opil.ouplaw.com/view/10.1093/law:epil/9780199231690/law-9780199231690-e937</w:t>
      </w:r>
      <w:r w:rsidR="005D68CE" w:rsidRPr="008817E5">
        <w:rPr>
          <w:sz w:val="24"/>
          <w:szCs w:val="24"/>
          <w:lang w:val="en-GB"/>
        </w:rPr>
        <w:t>)</w:t>
      </w:r>
      <w:r w:rsidR="005D68CE">
        <w:rPr>
          <w:sz w:val="24"/>
          <w:szCs w:val="24"/>
          <w:lang w:val="en-GB"/>
        </w:rPr>
        <w:t xml:space="preserve"> </w:t>
      </w:r>
    </w:p>
    <w:p w:rsidR="005D68CE" w:rsidRDefault="005D68CE" w:rsidP="005D68CE">
      <w:pPr>
        <w:spacing w:after="120"/>
        <w:rPr>
          <w:sz w:val="24"/>
          <w:szCs w:val="24"/>
          <w:lang w:val="en-GB"/>
        </w:rPr>
      </w:pPr>
    </w:p>
    <w:p w:rsidR="005D68CE" w:rsidRDefault="005D68CE" w:rsidP="005D68CE">
      <w:pPr>
        <w:tabs>
          <w:tab w:val="left" w:pos="567"/>
          <w:tab w:val="left" w:pos="1134"/>
        </w:tabs>
        <w:spacing w:before="100" w:beforeAutospacing="1" w:after="120"/>
        <w:outlineLvl w:val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BC32E8">
        <w:rPr>
          <w:sz w:val="24"/>
          <w:szCs w:val="24"/>
          <w:lang w:val="en-GB"/>
        </w:rPr>
        <w:t>193</w:t>
      </w:r>
      <w:r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ab/>
        <w:t xml:space="preserve">Retorsion, </w:t>
      </w:r>
      <w:r w:rsidRPr="008817E5">
        <w:rPr>
          <w:sz w:val="24"/>
          <w:szCs w:val="24"/>
          <w:lang w:val="en-GB"/>
        </w:rPr>
        <w:t>in: Rüdiger Wolfrum (ed.), The Max Planck Encyclopedia of Public International L</w:t>
      </w:r>
      <w:r>
        <w:rPr>
          <w:sz w:val="24"/>
          <w:szCs w:val="24"/>
          <w:lang w:val="en-GB"/>
        </w:rPr>
        <w:t>aw – Update September 2020 (Oxford University Press 2020</w:t>
      </w:r>
      <w:r w:rsidRPr="008817E5">
        <w:rPr>
          <w:sz w:val="24"/>
          <w:szCs w:val="24"/>
          <w:lang w:val="en-GB"/>
        </w:rPr>
        <w:t>), online edition (</w:t>
      </w:r>
      <w:r w:rsidRPr="0050311B">
        <w:rPr>
          <w:sz w:val="24"/>
          <w:szCs w:val="24"/>
          <w:lang w:val="en-GB"/>
        </w:rPr>
        <w:t>https://opil.ouplaw.com/view/10.1093/law:epil/9780199231690/law-9780199231690-e983</w:t>
      </w:r>
      <w:r w:rsidRPr="008817E5">
        <w:rPr>
          <w:sz w:val="24"/>
          <w:szCs w:val="24"/>
          <w:lang w:val="en-GB"/>
        </w:rPr>
        <w:t>)</w:t>
      </w:r>
    </w:p>
    <w:p w:rsidR="005D68CE" w:rsidRDefault="005D68CE" w:rsidP="005D68CE">
      <w:pPr>
        <w:tabs>
          <w:tab w:val="left" w:pos="567"/>
          <w:tab w:val="left" w:pos="1134"/>
        </w:tabs>
        <w:spacing w:before="100" w:beforeAutospacing="1" w:after="120"/>
        <w:outlineLvl w:val="0"/>
        <w:rPr>
          <w:sz w:val="24"/>
          <w:szCs w:val="24"/>
          <w:lang w:val="en-GB"/>
        </w:rPr>
      </w:pPr>
    </w:p>
    <w:p w:rsidR="005D68CE" w:rsidRDefault="005D68CE" w:rsidP="005D68CE">
      <w:pPr>
        <w:tabs>
          <w:tab w:val="left" w:pos="567"/>
          <w:tab w:val="left" w:pos="1134"/>
        </w:tabs>
        <w:spacing w:before="100" w:beforeAutospacing="1" w:after="120"/>
        <w:outlineLvl w:val="0"/>
        <w:rPr>
          <w:sz w:val="24"/>
          <w:szCs w:val="24"/>
        </w:rPr>
      </w:pPr>
      <w:r>
        <w:rPr>
          <w:sz w:val="24"/>
          <w:szCs w:val="24"/>
          <w:lang w:val="en-GB"/>
        </w:rPr>
        <w:tab/>
      </w:r>
      <w:r w:rsidR="00BC32E8">
        <w:rPr>
          <w:sz w:val="24"/>
          <w:szCs w:val="24"/>
        </w:rPr>
        <w:t>194</w:t>
      </w:r>
      <w:r w:rsidRPr="00653FCC">
        <w:rPr>
          <w:sz w:val="24"/>
          <w:szCs w:val="24"/>
        </w:rPr>
        <w:t>)</w:t>
      </w:r>
      <w:r w:rsidRPr="00653FCC">
        <w:rPr>
          <w:sz w:val="24"/>
          <w:szCs w:val="24"/>
        </w:rPr>
        <w:tab/>
        <w:t>Menschenrechte und Antidiskriminierung. Ein L</w:t>
      </w:r>
      <w:r>
        <w:rPr>
          <w:sz w:val="24"/>
          <w:szCs w:val="24"/>
        </w:rPr>
        <w:t>eitfaden für Schulen, Saar Blu</w:t>
      </w:r>
      <w:r>
        <w:rPr>
          <w:sz w:val="24"/>
          <w:szCs w:val="24"/>
        </w:rPr>
        <w:t>e</w:t>
      </w:r>
      <w:r>
        <w:rPr>
          <w:sz w:val="24"/>
          <w:szCs w:val="24"/>
        </w:rPr>
        <w:t>prints 12/2020 (</w:t>
      </w:r>
      <w:hyperlink r:id="rId14" w:history="1">
        <w:r w:rsidRPr="00682458">
          <w:rPr>
            <w:rStyle w:val="Hyperlink"/>
            <w:sz w:val="24"/>
            <w:szCs w:val="24"/>
          </w:rPr>
          <w:t>https://jean-monnet-saar.eu/wp-content/uploads/2020/12/Menschenrechte_Leitfaden_2020-1.pdf</w:t>
        </w:r>
      </w:hyperlink>
      <w:r>
        <w:rPr>
          <w:sz w:val="24"/>
          <w:szCs w:val="24"/>
        </w:rPr>
        <w:t>) (zusammen mit Merle Arndt, Annika Blaschke und Nana Pazmann)</w:t>
      </w:r>
    </w:p>
    <w:p w:rsidR="005D68CE" w:rsidRDefault="005D68CE" w:rsidP="005D68CE">
      <w:pPr>
        <w:tabs>
          <w:tab w:val="left" w:pos="567"/>
          <w:tab w:val="left" w:pos="1134"/>
        </w:tabs>
        <w:spacing w:before="100" w:beforeAutospacing="1" w:after="120"/>
        <w:outlineLvl w:val="0"/>
        <w:rPr>
          <w:sz w:val="24"/>
          <w:szCs w:val="24"/>
        </w:rPr>
      </w:pPr>
    </w:p>
    <w:p w:rsidR="005D68CE" w:rsidRDefault="00BC32E8" w:rsidP="005D68CE">
      <w:pPr>
        <w:tabs>
          <w:tab w:val="left" w:pos="567"/>
          <w:tab w:val="left" w:pos="1134"/>
        </w:tabs>
        <w:spacing w:before="100" w:beforeAutospacing="1" w:after="12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195</w:t>
      </w:r>
      <w:r w:rsidR="005D68CE">
        <w:rPr>
          <w:sz w:val="24"/>
          <w:szCs w:val="24"/>
        </w:rPr>
        <w:t>)</w:t>
      </w:r>
      <w:r w:rsidR="005D68CE">
        <w:rPr>
          <w:sz w:val="24"/>
          <w:szCs w:val="24"/>
        </w:rPr>
        <w:tab/>
        <w:t>75 Jahre Internationale Menschenrechtsrevolution: Von der UN-Charta zur EU-Sanktionsregelung im Bereich Menschenrechte, Saar Expert Paper 12/20 DE (</w:t>
      </w:r>
      <w:hyperlink r:id="rId15" w:history="1">
        <w:r w:rsidR="005D68CE" w:rsidRPr="00682458">
          <w:rPr>
            <w:rStyle w:val="Hyperlink"/>
            <w:sz w:val="24"/>
            <w:szCs w:val="24"/>
          </w:rPr>
          <w:t>https://jean-monnet-saar.eu/wp-content/uploads/2020/12/Giegerich_75-Jahre-Internationale-Menschnerechtsrevolution.pdf</w:t>
        </w:r>
      </w:hyperlink>
      <w:r w:rsidR="005D68CE">
        <w:rPr>
          <w:sz w:val="24"/>
          <w:szCs w:val="24"/>
        </w:rPr>
        <w:t>)</w:t>
      </w:r>
    </w:p>
    <w:p w:rsidR="005D68CE" w:rsidRDefault="005D68CE" w:rsidP="005D68CE">
      <w:pPr>
        <w:tabs>
          <w:tab w:val="left" w:pos="567"/>
          <w:tab w:val="left" w:pos="1134"/>
        </w:tabs>
        <w:spacing w:before="100" w:beforeAutospacing="1" w:after="120"/>
        <w:outlineLvl w:val="0"/>
        <w:rPr>
          <w:sz w:val="24"/>
          <w:szCs w:val="24"/>
        </w:rPr>
      </w:pPr>
    </w:p>
    <w:p w:rsidR="005D68CE" w:rsidRDefault="00BC32E8" w:rsidP="005D68CE">
      <w:pPr>
        <w:tabs>
          <w:tab w:val="left" w:pos="567"/>
          <w:tab w:val="left" w:pos="1134"/>
        </w:tabs>
        <w:spacing w:before="100" w:beforeAutospacing="1" w:after="12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196</w:t>
      </w:r>
      <w:r w:rsidR="005D68CE">
        <w:rPr>
          <w:sz w:val="24"/>
          <w:szCs w:val="24"/>
        </w:rPr>
        <w:t>)</w:t>
      </w:r>
      <w:r w:rsidR="005D68CE">
        <w:rPr>
          <w:sz w:val="24"/>
          <w:szCs w:val="24"/>
        </w:rPr>
        <w:tab/>
        <w:t>„Aus dem Rahmen fallende Vorgehensweise“ – Generalanwalt Tanchev verwirft die Ultra-Vires-Doktrin im PSPP-Urteil des BVerfG, Saar Brief vom 18.12.2020 (</w:t>
      </w:r>
      <w:hyperlink r:id="rId16" w:history="1">
        <w:r w:rsidR="005D68CE" w:rsidRPr="00682458">
          <w:rPr>
            <w:rStyle w:val="Hyperlink"/>
            <w:sz w:val="24"/>
            <w:szCs w:val="24"/>
          </w:rPr>
          <w:t>https://jean-monnet-saar.eu/?page_id=3079</w:t>
        </w:r>
      </w:hyperlink>
      <w:r w:rsidR="005D68CE">
        <w:rPr>
          <w:sz w:val="24"/>
          <w:szCs w:val="24"/>
        </w:rPr>
        <w:t>)</w:t>
      </w:r>
    </w:p>
    <w:p w:rsidR="005D68CE" w:rsidRDefault="005D68CE" w:rsidP="005D68CE">
      <w:pPr>
        <w:tabs>
          <w:tab w:val="left" w:pos="567"/>
          <w:tab w:val="left" w:pos="1134"/>
        </w:tabs>
        <w:spacing w:before="100" w:beforeAutospacing="1" w:after="120"/>
        <w:outlineLvl w:val="0"/>
        <w:rPr>
          <w:sz w:val="24"/>
          <w:szCs w:val="24"/>
        </w:rPr>
      </w:pPr>
    </w:p>
    <w:p w:rsidR="005D68CE" w:rsidRDefault="005D68CE" w:rsidP="005D68CE">
      <w:pPr>
        <w:tabs>
          <w:tab w:val="left" w:pos="567"/>
          <w:tab w:val="left" w:pos="1134"/>
        </w:tabs>
        <w:spacing w:before="100" w:beforeAutospacing="1" w:after="120"/>
        <w:outlineLvl w:val="0"/>
        <w:rPr>
          <w:sz w:val="24"/>
          <w:szCs w:val="24"/>
          <w:lang w:val="en-GB"/>
        </w:rPr>
      </w:pPr>
      <w:r>
        <w:rPr>
          <w:sz w:val="24"/>
          <w:szCs w:val="24"/>
        </w:rPr>
        <w:tab/>
      </w:r>
      <w:r w:rsidR="00BC32E8">
        <w:rPr>
          <w:sz w:val="24"/>
          <w:szCs w:val="24"/>
          <w:lang w:val="en-GB"/>
        </w:rPr>
        <w:t>197</w:t>
      </w:r>
      <w:r w:rsidRPr="00A5154A">
        <w:rPr>
          <w:sz w:val="24"/>
          <w:szCs w:val="24"/>
          <w:lang w:val="en-GB"/>
        </w:rPr>
        <w:t>)</w:t>
      </w:r>
      <w:r w:rsidRPr="00A5154A">
        <w:rPr>
          <w:sz w:val="24"/>
          <w:szCs w:val="24"/>
          <w:lang w:val="en-GB"/>
        </w:rPr>
        <w:tab/>
        <w:t xml:space="preserve">My „State of the </w:t>
      </w:r>
      <w:r>
        <w:rPr>
          <w:sz w:val="24"/>
          <w:szCs w:val="24"/>
          <w:lang w:val="en-GB"/>
        </w:rPr>
        <w:t xml:space="preserve">European Union” Overview for the Class of 2021 – Sequel, </w:t>
      </w:r>
      <w:r w:rsidRPr="00A5154A">
        <w:rPr>
          <w:sz w:val="24"/>
          <w:szCs w:val="24"/>
          <w:lang w:val="en-GB"/>
        </w:rPr>
        <w:t>Saar Brief vom 15.1.2021 (</w:t>
      </w:r>
      <w:hyperlink r:id="rId17" w:history="1">
        <w:r w:rsidRPr="00682458">
          <w:rPr>
            <w:rStyle w:val="Hyperlink"/>
            <w:sz w:val="24"/>
            <w:szCs w:val="24"/>
            <w:lang w:val="en-GB"/>
          </w:rPr>
          <w:t>https://jean-monnet-saar.eu/?page_id=3130</w:t>
        </w:r>
      </w:hyperlink>
      <w:r w:rsidRPr="00A5154A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(s.o. Nr. 42)</w:t>
      </w:r>
    </w:p>
    <w:p w:rsidR="005D68CE" w:rsidRDefault="005D68CE" w:rsidP="005D68CE">
      <w:pPr>
        <w:tabs>
          <w:tab w:val="left" w:pos="567"/>
          <w:tab w:val="left" w:pos="1134"/>
        </w:tabs>
        <w:spacing w:before="100" w:beforeAutospacing="1" w:after="120"/>
        <w:outlineLvl w:val="0"/>
        <w:rPr>
          <w:sz w:val="24"/>
          <w:szCs w:val="24"/>
          <w:lang w:val="en-GB"/>
        </w:rPr>
      </w:pPr>
    </w:p>
    <w:p w:rsidR="005D68CE" w:rsidRDefault="005D68CE" w:rsidP="005D68CE">
      <w:pPr>
        <w:tabs>
          <w:tab w:val="left" w:pos="567"/>
          <w:tab w:val="left" w:pos="1134"/>
        </w:tabs>
        <w:spacing w:before="100" w:beforeAutospacing="1" w:after="120"/>
        <w:outlineLvl w:val="0"/>
        <w:rPr>
          <w:sz w:val="24"/>
          <w:szCs w:val="24"/>
        </w:rPr>
      </w:pPr>
      <w:r>
        <w:rPr>
          <w:sz w:val="24"/>
          <w:szCs w:val="24"/>
          <w:lang w:val="en-GB"/>
        </w:rPr>
        <w:tab/>
      </w:r>
      <w:r w:rsidR="00BC32E8">
        <w:rPr>
          <w:sz w:val="24"/>
          <w:szCs w:val="24"/>
        </w:rPr>
        <w:t>198</w:t>
      </w:r>
      <w:r w:rsidRPr="00A46288">
        <w:rPr>
          <w:sz w:val="24"/>
          <w:szCs w:val="24"/>
        </w:rPr>
        <w:t>)</w:t>
      </w:r>
      <w:r w:rsidRPr="00A46288">
        <w:rPr>
          <w:sz w:val="24"/>
          <w:szCs w:val="24"/>
        </w:rPr>
        <w:tab/>
      </w:r>
      <w:r>
        <w:rPr>
          <w:sz w:val="24"/>
          <w:szCs w:val="24"/>
        </w:rPr>
        <w:t>Karlsruhe verzögert europäische Patentreform noch weiter: Zur Integrationsve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antwortung des Bundesverfassungsgerichts, </w:t>
      </w:r>
      <w:r w:rsidRPr="00A46288">
        <w:rPr>
          <w:sz w:val="24"/>
          <w:szCs w:val="24"/>
        </w:rPr>
        <w:t>Saar Brief vom 20.</w:t>
      </w:r>
      <w:r>
        <w:rPr>
          <w:sz w:val="24"/>
          <w:szCs w:val="24"/>
        </w:rPr>
        <w:t xml:space="preserve">1.2021 </w:t>
      </w:r>
      <w:r w:rsidRPr="00A46288">
        <w:rPr>
          <w:sz w:val="24"/>
          <w:szCs w:val="24"/>
        </w:rPr>
        <w:t>(</w:t>
      </w:r>
      <w:hyperlink r:id="rId18" w:history="1">
        <w:r w:rsidRPr="00682458">
          <w:rPr>
            <w:rStyle w:val="Hyperlink"/>
            <w:sz w:val="24"/>
            <w:szCs w:val="24"/>
          </w:rPr>
          <w:t>https://jean-monnet-saar.eu/?page_id=3144</w:t>
        </w:r>
      </w:hyperlink>
      <w:r w:rsidRPr="00A46288">
        <w:rPr>
          <w:sz w:val="24"/>
          <w:szCs w:val="24"/>
        </w:rPr>
        <w:t>)</w:t>
      </w:r>
    </w:p>
    <w:p w:rsidR="005D68CE" w:rsidRDefault="005D68CE" w:rsidP="005D68CE">
      <w:pPr>
        <w:tabs>
          <w:tab w:val="left" w:pos="567"/>
          <w:tab w:val="left" w:pos="1134"/>
        </w:tabs>
        <w:spacing w:before="100" w:beforeAutospacing="1" w:after="120"/>
        <w:outlineLvl w:val="0"/>
        <w:rPr>
          <w:sz w:val="24"/>
          <w:szCs w:val="24"/>
        </w:rPr>
      </w:pPr>
    </w:p>
    <w:p w:rsidR="005D68CE" w:rsidRDefault="00BC32E8" w:rsidP="005D68CE">
      <w:pPr>
        <w:tabs>
          <w:tab w:val="left" w:pos="567"/>
          <w:tab w:val="left" w:pos="1134"/>
        </w:tabs>
        <w:spacing w:before="100" w:beforeAutospacing="1" w:after="12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199</w:t>
      </w:r>
      <w:r w:rsidR="005D68CE">
        <w:rPr>
          <w:sz w:val="24"/>
          <w:szCs w:val="24"/>
        </w:rPr>
        <w:t>)</w:t>
      </w:r>
      <w:r w:rsidR="005D68CE">
        <w:rPr>
          <w:sz w:val="24"/>
          <w:szCs w:val="24"/>
        </w:rPr>
        <w:tab/>
      </w:r>
      <w:r w:rsidR="005D68CE" w:rsidRPr="00653FCC">
        <w:rPr>
          <w:sz w:val="24"/>
          <w:szCs w:val="24"/>
        </w:rPr>
        <w:t>Menschenrecht</w:t>
      </w:r>
      <w:r w:rsidR="005D68CE">
        <w:rPr>
          <w:sz w:val="24"/>
          <w:szCs w:val="24"/>
        </w:rPr>
        <w:t>e und Antidiskriminierung, Saar Blueprints 03/21 (</w:t>
      </w:r>
      <w:hyperlink r:id="rId19" w:history="1">
        <w:r w:rsidR="005D68CE" w:rsidRPr="00682458">
          <w:rPr>
            <w:rStyle w:val="Hyperlink"/>
            <w:sz w:val="24"/>
            <w:szCs w:val="24"/>
          </w:rPr>
          <w:t>https://jean-monnet-saar.eu/wp-content/uploads/2021/03/Menschenrechte-und-Antidiskriminierung.pdf</w:t>
        </w:r>
      </w:hyperlink>
      <w:r w:rsidR="005D68CE">
        <w:rPr>
          <w:sz w:val="24"/>
          <w:szCs w:val="24"/>
        </w:rPr>
        <w:t>) (zusammen mit Merle Arndt, Annika Blaschke und Nana Pazmann)</w:t>
      </w:r>
    </w:p>
    <w:p w:rsidR="005D68CE" w:rsidRDefault="005D68CE" w:rsidP="005D68CE">
      <w:pPr>
        <w:tabs>
          <w:tab w:val="left" w:pos="567"/>
          <w:tab w:val="left" w:pos="1134"/>
        </w:tabs>
        <w:spacing w:before="100" w:beforeAutospacing="1" w:after="120"/>
        <w:outlineLvl w:val="0"/>
        <w:rPr>
          <w:sz w:val="24"/>
          <w:szCs w:val="24"/>
        </w:rPr>
      </w:pPr>
    </w:p>
    <w:p w:rsidR="005D68CE" w:rsidRDefault="00BC32E8" w:rsidP="005D68CE">
      <w:pPr>
        <w:tabs>
          <w:tab w:val="left" w:pos="567"/>
          <w:tab w:val="left" w:pos="1134"/>
        </w:tabs>
        <w:spacing w:before="100" w:beforeAutospacing="1" w:after="120"/>
        <w:outlineLvl w:val="0"/>
        <w:rPr>
          <w:rStyle w:val="object"/>
          <w:sz w:val="24"/>
          <w:szCs w:val="24"/>
        </w:rPr>
      </w:pPr>
      <w:r>
        <w:rPr>
          <w:sz w:val="24"/>
          <w:szCs w:val="24"/>
        </w:rPr>
        <w:tab/>
        <w:t>200</w:t>
      </w:r>
      <w:r w:rsidR="005D68CE" w:rsidRPr="007B3B85">
        <w:rPr>
          <w:sz w:val="24"/>
          <w:szCs w:val="24"/>
        </w:rPr>
        <w:t>)</w:t>
      </w:r>
      <w:r w:rsidR="005D68CE" w:rsidRPr="007B3B85">
        <w:rPr>
          <w:sz w:val="24"/>
          <w:szCs w:val="24"/>
        </w:rPr>
        <w:tab/>
      </w:r>
      <w:r w:rsidR="005D68CE">
        <w:rPr>
          <w:sz w:val="24"/>
          <w:szCs w:val="24"/>
        </w:rPr>
        <w:t>Darf die Zahlung von Kurzarbeitergeld den Arbeitnehmern in inländischen B</w:t>
      </w:r>
      <w:r w:rsidR="005D68CE">
        <w:rPr>
          <w:sz w:val="24"/>
          <w:szCs w:val="24"/>
        </w:rPr>
        <w:t>e</w:t>
      </w:r>
      <w:r w:rsidR="005D68CE">
        <w:rPr>
          <w:sz w:val="24"/>
          <w:szCs w:val="24"/>
        </w:rPr>
        <w:t xml:space="preserve">trieben vorbehalten werden?, Saar Expert Paper vom 6.4.2021 </w:t>
      </w:r>
      <w:r w:rsidR="005D68CE" w:rsidRPr="007B3B85">
        <w:rPr>
          <w:sz w:val="24"/>
          <w:szCs w:val="24"/>
        </w:rPr>
        <w:t>(</w:t>
      </w:r>
      <w:hyperlink r:id="rId20" w:tgtFrame="_blank" w:history="1">
        <w:r w:rsidR="005D68CE" w:rsidRPr="007B3B85">
          <w:rPr>
            <w:rStyle w:val="Hyperlink"/>
            <w:sz w:val="24"/>
            <w:szCs w:val="24"/>
          </w:rPr>
          <w:t>https://jean-monnet-saar.eu/wp-content/uploads/2021/04/Giegerich_Kurzarbeitergeld-inlaendische-Betriebe.pdf</w:t>
        </w:r>
      </w:hyperlink>
      <w:r w:rsidR="005D68CE" w:rsidRPr="007B3B85">
        <w:rPr>
          <w:rStyle w:val="object"/>
          <w:sz w:val="24"/>
          <w:szCs w:val="24"/>
        </w:rPr>
        <w:t>)</w:t>
      </w:r>
    </w:p>
    <w:p w:rsidR="005D68CE" w:rsidRPr="00D02845" w:rsidRDefault="005D68CE" w:rsidP="005D68CE">
      <w:pPr>
        <w:rPr>
          <w:rStyle w:val="object"/>
          <w:b/>
          <w:sz w:val="24"/>
          <w:szCs w:val="24"/>
        </w:rPr>
      </w:pPr>
    </w:p>
    <w:p w:rsidR="005D68CE" w:rsidRDefault="005D68CE" w:rsidP="00BC32E8">
      <w:pPr>
        <w:tabs>
          <w:tab w:val="left" w:pos="567"/>
        </w:tabs>
        <w:spacing w:before="100" w:beforeAutospacing="1" w:after="120"/>
        <w:rPr>
          <w:bCs/>
          <w:kern w:val="36"/>
          <w:sz w:val="24"/>
          <w:szCs w:val="24"/>
          <w:lang w:val="en-GB"/>
        </w:rPr>
      </w:pPr>
      <w:r w:rsidRPr="00D02845">
        <w:rPr>
          <w:bCs/>
          <w:kern w:val="36"/>
          <w:sz w:val="24"/>
          <w:szCs w:val="24"/>
        </w:rPr>
        <w:tab/>
      </w:r>
      <w:r w:rsidR="00BC32E8" w:rsidRPr="00BC32E8">
        <w:rPr>
          <w:bCs/>
          <w:kern w:val="36"/>
          <w:sz w:val="24"/>
          <w:szCs w:val="24"/>
          <w:lang w:val="en-GB"/>
        </w:rPr>
        <w:t>201</w:t>
      </w:r>
      <w:r w:rsidRPr="00D02845">
        <w:rPr>
          <w:bCs/>
          <w:kern w:val="36"/>
          <w:sz w:val="24"/>
          <w:szCs w:val="24"/>
          <w:lang w:val="en-GB"/>
        </w:rPr>
        <w:t>)</w:t>
      </w:r>
      <w:r w:rsidRPr="00D02845">
        <w:rPr>
          <w:bCs/>
          <w:kern w:val="36"/>
          <w:sz w:val="24"/>
          <w:szCs w:val="24"/>
          <w:lang w:val="en-GB"/>
        </w:rPr>
        <w:tab/>
      </w:r>
      <w:r w:rsidRPr="00D02845">
        <w:rPr>
          <w:sz w:val="24"/>
          <w:szCs w:val="24"/>
          <w:lang w:val="en-GB"/>
        </w:rPr>
        <w:t>Online-Symposium: Gender Equality and Gender Quotas for Political Partic</w:t>
      </w:r>
      <w:r w:rsidRPr="00D02845">
        <w:rPr>
          <w:sz w:val="24"/>
          <w:szCs w:val="24"/>
          <w:lang w:val="en-GB"/>
        </w:rPr>
        <w:t>i</w:t>
      </w:r>
      <w:r w:rsidR="00A37535">
        <w:rPr>
          <w:sz w:val="24"/>
          <w:szCs w:val="24"/>
          <w:lang w:val="en-GB"/>
        </w:rPr>
        <w:t>pation in Europe – An I</w:t>
      </w:r>
      <w:r w:rsidRPr="00D02845">
        <w:rPr>
          <w:sz w:val="24"/>
          <w:szCs w:val="24"/>
          <w:lang w:val="en-GB"/>
        </w:rPr>
        <w:t>ntroduction</w:t>
      </w:r>
      <w:r>
        <w:rPr>
          <w:sz w:val="24"/>
          <w:szCs w:val="24"/>
          <w:lang w:val="en-GB"/>
        </w:rPr>
        <w:t xml:space="preserve">, Saar Brief vom 3.5.2021 </w:t>
      </w:r>
      <w:r w:rsidRPr="00D02845">
        <w:rPr>
          <w:bCs/>
          <w:kern w:val="36"/>
          <w:sz w:val="24"/>
          <w:szCs w:val="24"/>
          <w:lang w:val="en-GB"/>
        </w:rPr>
        <w:t>(</w:t>
      </w:r>
      <w:hyperlink r:id="rId21" w:history="1">
        <w:r w:rsidRPr="00015BBD">
          <w:rPr>
            <w:rStyle w:val="Hyperlink"/>
            <w:bCs/>
            <w:kern w:val="36"/>
            <w:sz w:val="24"/>
            <w:szCs w:val="24"/>
            <w:lang w:val="en-GB"/>
          </w:rPr>
          <w:t>https://jean-monnet-saar.eu/?page_id=51353</w:t>
        </w:r>
      </w:hyperlink>
      <w:r w:rsidRPr="00D02845">
        <w:rPr>
          <w:bCs/>
          <w:kern w:val="36"/>
          <w:sz w:val="24"/>
          <w:szCs w:val="24"/>
          <w:lang w:val="en-GB"/>
        </w:rPr>
        <w:t>)</w:t>
      </w:r>
    </w:p>
    <w:p w:rsidR="005D68CE" w:rsidRDefault="005D68CE" w:rsidP="005D68CE">
      <w:pPr>
        <w:spacing w:before="100" w:beforeAutospacing="1" w:after="120"/>
        <w:rPr>
          <w:bCs/>
          <w:kern w:val="36"/>
          <w:sz w:val="24"/>
          <w:szCs w:val="24"/>
          <w:lang w:val="en-GB"/>
        </w:rPr>
      </w:pPr>
    </w:p>
    <w:p w:rsidR="005D68CE" w:rsidRDefault="00BC32E8" w:rsidP="00BC32E8">
      <w:pPr>
        <w:tabs>
          <w:tab w:val="left" w:pos="567"/>
        </w:tabs>
        <w:spacing w:before="100" w:beforeAutospacing="1" w:after="120"/>
        <w:rPr>
          <w:bCs/>
          <w:kern w:val="36"/>
          <w:sz w:val="24"/>
          <w:szCs w:val="24"/>
          <w:lang w:val="en-GB"/>
        </w:rPr>
      </w:pPr>
      <w:r>
        <w:rPr>
          <w:bCs/>
          <w:kern w:val="36"/>
          <w:sz w:val="24"/>
          <w:szCs w:val="24"/>
          <w:lang w:val="en-GB"/>
        </w:rPr>
        <w:tab/>
        <w:t>202</w:t>
      </w:r>
      <w:r w:rsidR="005D68CE">
        <w:rPr>
          <w:bCs/>
          <w:kern w:val="36"/>
          <w:sz w:val="24"/>
          <w:szCs w:val="24"/>
          <w:lang w:val="en-GB"/>
        </w:rPr>
        <w:t>)</w:t>
      </w:r>
      <w:r w:rsidR="005D68CE">
        <w:rPr>
          <w:bCs/>
          <w:kern w:val="36"/>
          <w:sz w:val="24"/>
          <w:szCs w:val="24"/>
          <w:lang w:val="en-GB"/>
        </w:rPr>
        <w:tab/>
        <w:t>Women’s Right to Equal Political Participation and Gender Parity in Parli</w:t>
      </w:r>
      <w:r w:rsidR="005D68CE">
        <w:rPr>
          <w:bCs/>
          <w:kern w:val="36"/>
          <w:sz w:val="24"/>
          <w:szCs w:val="24"/>
          <w:lang w:val="en-GB"/>
        </w:rPr>
        <w:t>a</w:t>
      </w:r>
      <w:r w:rsidR="005D68CE">
        <w:rPr>
          <w:bCs/>
          <w:kern w:val="36"/>
          <w:sz w:val="24"/>
          <w:szCs w:val="24"/>
          <w:lang w:val="en-GB"/>
        </w:rPr>
        <w:t>ments – Is Germany Falling Behind?, Saar Brief vom 7.5.2021 (</w:t>
      </w:r>
      <w:hyperlink r:id="rId22" w:history="1">
        <w:r w:rsidR="005D68CE" w:rsidRPr="00A805F4">
          <w:rPr>
            <w:rStyle w:val="Hyperlink"/>
            <w:bCs/>
            <w:kern w:val="36"/>
            <w:sz w:val="24"/>
            <w:szCs w:val="24"/>
            <w:lang w:val="en-GB"/>
          </w:rPr>
          <w:t>https://jean-monnet-saar.eu/?page_id=52507</w:t>
        </w:r>
      </w:hyperlink>
      <w:r w:rsidR="005D68CE">
        <w:rPr>
          <w:bCs/>
          <w:kern w:val="36"/>
          <w:sz w:val="24"/>
          <w:szCs w:val="24"/>
          <w:lang w:val="en-GB"/>
        </w:rPr>
        <w:t>)</w:t>
      </w:r>
    </w:p>
    <w:p w:rsidR="005D68CE" w:rsidRPr="00384A72" w:rsidRDefault="005D68CE" w:rsidP="005D68CE">
      <w:pPr>
        <w:spacing w:before="100" w:beforeAutospacing="1" w:after="120"/>
        <w:rPr>
          <w:bCs/>
          <w:kern w:val="36"/>
          <w:sz w:val="24"/>
          <w:szCs w:val="24"/>
          <w:lang w:val="en-GB"/>
        </w:rPr>
      </w:pPr>
    </w:p>
    <w:p w:rsidR="005D68CE" w:rsidRDefault="00BC32E8" w:rsidP="00BC32E8">
      <w:pPr>
        <w:pStyle w:val="StandardWeb"/>
        <w:tabs>
          <w:tab w:val="left" w:pos="567"/>
          <w:tab w:val="left" w:pos="709"/>
          <w:tab w:val="left" w:pos="1134"/>
        </w:tabs>
        <w:spacing w:before="0" w:beforeAutospacing="0" w:after="120" w:afterAutospacing="0"/>
        <w:jc w:val="both"/>
        <w:rPr>
          <w:lang w:val="en-GB"/>
        </w:rPr>
      </w:pPr>
      <w:r>
        <w:rPr>
          <w:bCs/>
          <w:kern w:val="36"/>
          <w:lang w:val="en-GB"/>
        </w:rPr>
        <w:tab/>
        <w:t>203</w:t>
      </w:r>
      <w:r w:rsidR="005D68CE" w:rsidRPr="00384A72">
        <w:rPr>
          <w:bCs/>
          <w:kern w:val="36"/>
          <w:lang w:val="en-GB"/>
        </w:rPr>
        <w:t>)</w:t>
      </w:r>
      <w:r w:rsidR="005D68CE" w:rsidRPr="00384A72">
        <w:rPr>
          <w:bCs/>
          <w:kern w:val="36"/>
          <w:lang w:val="en-GB"/>
        </w:rPr>
        <w:tab/>
        <w:t xml:space="preserve">Thomas Giegerich (ed.), </w:t>
      </w:r>
      <w:r w:rsidR="005D68CE" w:rsidRPr="00384A72">
        <w:rPr>
          <w:lang w:val="en-GB"/>
        </w:rPr>
        <w:t>Gender Equality and Gender Quotas for Political Par-ticipation in Europe: Comparative, International and Supranational Perspectives</w:t>
      </w:r>
      <w:r w:rsidR="005D68CE">
        <w:rPr>
          <w:lang w:val="en-GB"/>
        </w:rPr>
        <w:t xml:space="preserve">, Saar Expert Paper vom 11.5.2021 </w:t>
      </w:r>
      <w:hyperlink r:id="rId23" w:history="1">
        <w:r w:rsidR="00A37535" w:rsidRPr="006944AB">
          <w:rPr>
            <w:rStyle w:val="Hyperlink"/>
            <w:lang w:val="en-GB"/>
          </w:rPr>
          <w:t>https://jean-monnet-saar.eu/wp-content/uploads/2021/05/Symposium-Gender-Parity_updated-version_II.pdf</w:t>
        </w:r>
      </w:hyperlink>
      <w:r w:rsidR="00A37535">
        <w:rPr>
          <w:lang w:val="en-GB"/>
        </w:rPr>
        <w:t xml:space="preserve"> (</w:t>
      </w:r>
      <w:r>
        <w:rPr>
          <w:lang w:val="en-GB"/>
        </w:rPr>
        <w:t>umfasst Nr. 201 und Nr. 202</w:t>
      </w:r>
      <w:r w:rsidR="00A37535">
        <w:rPr>
          <w:lang w:val="en-GB"/>
        </w:rPr>
        <w:t>)</w:t>
      </w:r>
    </w:p>
    <w:p w:rsidR="00BC32E8" w:rsidRDefault="00BC32E8" w:rsidP="00BC32E8">
      <w:pPr>
        <w:pStyle w:val="StandardWeb"/>
        <w:tabs>
          <w:tab w:val="left" w:pos="567"/>
          <w:tab w:val="left" w:pos="709"/>
          <w:tab w:val="left" w:pos="1134"/>
        </w:tabs>
        <w:spacing w:before="0" w:beforeAutospacing="0" w:after="120" w:afterAutospacing="0"/>
        <w:jc w:val="both"/>
        <w:rPr>
          <w:lang w:val="en-GB"/>
        </w:rPr>
      </w:pPr>
    </w:p>
    <w:p w:rsidR="00BC32E8" w:rsidRPr="00BC32E8" w:rsidRDefault="00BC32E8" w:rsidP="00BC32E8">
      <w:pPr>
        <w:pStyle w:val="StandardWeb"/>
        <w:tabs>
          <w:tab w:val="left" w:pos="567"/>
          <w:tab w:val="left" w:pos="709"/>
          <w:tab w:val="left" w:pos="1134"/>
        </w:tabs>
        <w:spacing w:before="0" w:beforeAutospacing="0" w:after="120" w:afterAutospacing="0"/>
        <w:jc w:val="both"/>
        <w:rPr>
          <w:bCs/>
        </w:rPr>
      </w:pPr>
      <w:r>
        <w:rPr>
          <w:lang w:val="en-GB"/>
        </w:rPr>
        <w:tab/>
      </w:r>
      <w:r w:rsidRPr="00BC32E8">
        <w:t>204)</w:t>
      </w:r>
      <w:r w:rsidRPr="00BC32E8">
        <w:tab/>
      </w:r>
      <w:r w:rsidRPr="00615499">
        <w:t xml:space="preserve">Das </w:t>
      </w:r>
      <w:r>
        <w:t xml:space="preserve">PSPP-Urteil des BVerfG und seine diversen Nachspiele, Saar Expert Paper vom 14.6.2021 </w:t>
      </w:r>
      <w:r w:rsidRPr="00615499">
        <w:t>(</w:t>
      </w:r>
      <w:hyperlink r:id="rId24" w:tgtFrame="_blank" w:history="1">
        <w:r w:rsidRPr="00615499">
          <w:rPr>
            <w:rStyle w:val="Hyperlink"/>
          </w:rPr>
          <w:t>https://jean-monnet-saar.eu/wp-content/uploads/2021/06/Nachspiele_PSPP_Urteil.pdf</w:t>
        </w:r>
      </w:hyperlink>
      <w:r w:rsidRPr="00615499">
        <w:rPr>
          <w:rStyle w:val="object"/>
        </w:rPr>
        <w:t>)</w:t>
      </w:r>
    </w:p>
    <w:p w:rsidR="00581CB9" w:rsidRPr="00BC32E8" w:rsidRDefault="00581CB9" w:rsidP="00CA37B6">
      <w:pPr>
        <w:tabs>
          <w:tab w:val="left" w:pos="1134"/>
        </w:tabs>
        <w:spacing w:after="120"/>
        <w:ind w:firstLine="567"/>
        <w:rPr>
          <w:sz w:val="24"/>
          <w:szCs w:val="24"/>
        </w:rPr>
      </w:pPr>
    </w:p>
    <w:p w:rsidR="00D3076A" w:rsidRDefault="00581CB9" w:rsidP="00F31AD6">
      <w:pPr>
        <w:tabs>
          <w:tab w:val="left" w:pos="567"/>
        </w:tabs>
        <w:spacing w:after="120"/>
        <w:rPr>
          <w:b/>
          <w:bCs/>
          <w:sz w:val="24"/>
        </w:rPr>
      </w:pPr>
      <w:r w:rsidRPr="00BC32E8">
        <w:rPr>
          <w:b/>
          <w:bCs/>
          <w:sz w:val="24"/>
        </w:rPr>
        <w:br w:type="page"/>
      </w:r>
      <w:r w:rsidR="00D3076A">
        <w:rPr>
          <w:b/>
          <w:bCs/>
          <w:sz w:val="24"/>
        </w:rPr>
        <w:lastRenderedPageBreak/>
        <w:t>IV.</w:t>
      </w:r>
      <w:r w:rsidR="00D3076A">
        <w:rPr>
          <w:b/>
          <w:bCs/>
          <w:sz w:val="24"/>
        </w:rPr>
        <w:tab/>
        <w:t>Herausgeberschaften</w:t>
      </w:r>
    </w:p>
    <w:p w:rsidR="00786F86" w:rsidRDefault="00786F86" w:rsidP="00F31AD6">
      <w:pPr>
        <w:tabs>
          <w:tab w:val="left" w:pos="567"/>
        </w:tabs>
        <w:spacing w:after="120"/>
        <w:jc w:val="both"/>
        <w:rPr>
          <w:b/>
          <w:sz w:val="24"/>
        </w:rPr>
      </w:pPr>
      <w:r w:rsidRPr="00786F86">
        <w:rPr>
          <w:b/>
          <w:sz w:val="24"/>
        </w:rPr>
        <w:t>A.</w:t>
      </w:r>
      <w:r w:rsidRPr="00786F86">
        <w:rPr>
          <w:b/>
          <w:sz w:val="24"/>
        </w:rPr>
        <w:tab/>
        <w:t>Einzelbände</w:t>
      </w:r>
    </w:p>
    <w:p w:rsidR="00D3076A" w:rsidRDefault="00D3076A">
      <w:pPr>
        <w:pStyle w:val="Textkrper2"/>
        <w:tabs>
          <w:tab w:val="left" w:pos="567"/>
          <w:tab w:val="left" w:pos="993"/>
        </w:tabs>
        <w:spacing w:after="120"/>
      </w:pPr>
      <w:r>
        <w:tab/>
        <w:t>1)</w:t>
      </w:r>
      <w:r>
        <w:tab/>
        <w:t xml:space="preserve">Einwanderungsrecht – national und international. Staatliches Recht, Europa- und Völkerrecht (zusammen mit Rüdiger Wolfrum), </w:t>
      </w:r>
      <w:r w:rsidR="00497F55">
        <w:t xml:space="preserve">Leske und Budrich, </w:t>
      </w:r>
      <w:r>
        <w:t>Opladen 2001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2"/>
        <w:tabs>
          <w:tab w:val="left" w:pos="567"/>
          <w:tab w:val="left" w:pos="993"/>
        </w:tabs>
        <w:spacing w:after="120"/>
      </w:pPr>
      <w:r>
        <w:tab/>
        <w:t>2)</w:t>
      </w:r>
      <w:r>
        <w:tab/>
        <w:t>Tradition und Weltoffenheit des Rechts. Festschrift für Helmut Steinberger (z</w:t>
      </w:r>
      <w:r>
        <w:t>u</w:t>
      </w:r>
      <w:r>
        <w:t xml:space="preserve">sammen mit Hans-Joachim Cremer, Dagmar Richter und Andreas Zimmermann), </w:t>
      </w:r>
      <w:r w:rsidR="00497F55">
        <w:t xml:space="preserve">Springer, </w:t>
      </w:r>
      <w:r>
        <w:t>Berlin u.a. 2002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tabs>
          <w:tab w:val="left" w:pos="567"/>
          <w:tab w:val="left" w:pos="993"/>
        </w:tabs>
        <w:spacing w:after="120"/>
        <w:jc w:val="both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  <w:lang w:val="en-GB"/>
        </w:rPr>
        <w:t>3)</w:t>
      </w:r>
      <w:r>
        <w:rPr>
          <w:sz w:val="24"/>
          <w:lang w:val="en-GB"/>
        </w:rPr>
        <w:tab/>
        <w:t>The EU Accession of Cyprus – Key to the Political and Legal Solution of an ”Inso</w:t>
      </w:r>
      <w:r>
        <w:rPr>
          <w:sz w:val="24"/>
          <w:lang w:val="en-GB"/>
        </w:rPr>
        <w:t>l</w:t>
      </w:r>
      <w:r>
        <w:rPr>
          <w:sz w:val="24"/>
          <w:lang w:val="en-GB"/>
        </w:rPr>
        <w:t xml:space="preserve">uble” Ethnic Conflict? Proceedings of the International and Interdisciplinary Conference Held in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  <w:lang w:val="en-GB"/>
            </w:rPr>
            <w:t>Bremen</w:t>
          </w:r>
        </w:smartTag>
      </w:smartTag>
      <w:r>
        <w:rPr>
          <w:sz w:val="24"/>
          <w:lang w:val="en-GB"/>
        </w:rPr>
        <w:t xml:space="preserve"> on 14</w:t>
      </w:r>
      <w:r>
        <w:rPr>
          <w:sz w:val="24"/>
          <w:vertAlign w:val="superscript"/>
          <w:lang w:val="en-GB"/>
        </w:rPr>
        <w:t>th</w:t>
      </w:r>
      <w:r>
        <w:rPr>
          <w:sz w:val="24"/>
          <w:lang w:val="en-GB"/>
        </w:rPr>
        <w:t xml:space="preserve"> and </w:t>
      </w:r>
      <w:smartTag w:uri="urn:schemas-microsoft-com:office:smarttags" w:element="date">
        <w:smartTagPr>
          <w:attr w:name="Year" w:val="2004"/>
          <w:attr w:name="Day" w:val="15"/>
          <w:attr w:name="Month" w:val="5"/>
        </w:smartTagPr>
        <w:r>
          <w:rPr>
            <w:sz w:val="24"/>
            <w:lang w:val="en-GB"/>
          </w:rPr>
          <w:t>15</w:t>
        </w:r>
        <w:r>
          <w:rPr>
            <w:sz w:val="24"/>
            <w:vertAlign w:val="superscript"/>
            <w:lang w:val="en-GB"/>
          </w:rPr>
          <w:t>th</w:t>
        </w:r>
        <w:r>
          <w:rPr>
            <w:sz w:val="24"/>
            <w:lang w:val="en-GB"/>
          </w:rPr>
          <w:t xml:space="preserve"> May 2004</w:t>
        </w:r>
      </w:smartTag>
      <w:r>
        <w:rPr>
          <w:sz w:val="24"/>
          <w:lang w:val="en-GB"/>
        </w:rPr>
        <w:t xml:space="preserve">, </w:t>
      </w:r>
      <w:r w:rsidR="00497F55">
        <w:rPr>
          <w:sz w:val="24"/>
          <w:lang w:val="en-GB"/>
        </w:rPr>
        <w:t xml:space="preserve">Nomos, </w:t>
      </w:r>
      <w:r>
        <w:rPr>
          <w:sz w:val="24"/>
          <w:lang w:val="en-GB"/>
        </w:rPr>
        <w:t>Baden-Baden 2006</w:t>
      </w:r>
    </w:p>
    <w:p w:rsidR="007576B3" w:rsidRDefault="007576B3">
      <w:pPr>
        <w:tabs>
          <w:tab w:val="left" w:pos="567"/>
          <w:tab w:val="left" w:pos="993"/>
        </w:tabs>
        <w:spacing w:after="120"/>
        <w:jc w:val="both"/>
        <w:rPr>
          <w:sz w:val="24"/>
          <w:lang w:val="en-GB"/>
        </w:rPr>
      </w:pPr>
    </w:p>
    <w:p w:rsidR="007576B3" w:rsidRPr="007576B3" w:rsidRDefault="007576B3">
      <w:pPr>
        <w:tabs>
          <w:tab w:val="left" w:pos="567"/>
          <w:tab w:val="left" w:pos="993"/>
        </w:tabs>
        <w:spacing w:after="120"/>
        <w:jc w:val="both"/>
        <w:rPr>
          <w:sz w:val="24"/>
        </w:rPr>
      </w:pPr>
      <w:r>
        <w:rPr>
          <w:sz w:val="24"/>
          <w:lang w:val="en-GB"/>
        </w:rPr>
        <w:tab/>
      </w:r>
      <w:r w:rsidRPr="007576B3">
        <w:rPr>
          <w:sz w:val="24"/>
        </w:rPr>
        <w:t>4)</w:t>
      </w:r>
      <w:r w:rsidRPr="007576B3">
        <w:rPr>
          <w:sz w:val="24"/>
        </w:rPr>
        <w:tab/>
        <w:t>Gender und Internationales Recht (zusammen</w:t>
      </w:r>
      <w:r w:rsidR="00497F55">
        <w:rPr>
          <w:sz w:val="24"/>
        </w:rPr>
        <w:t xml:space="preserve"> mit Andreas Zimmermann), Duncker &amp; Humblot, Berlin</w:t>
      </w:r>
      <w:r w:rsidRPr="007576B3">
        <w:rPr>
          <w:sz w:val="24"/>
        </w:rPr>
        <w:t xml:space="preserve"> 2007</w:t>
      </w:r>
    </w:p>
    <w:p w:rsidR="00D3076A" w:rsidRDefault="00D3076A">
      <w:pPr>
        <w:spacing w:after="120"/>
        <w:jc w:val="both"/>
        <w:rPr>
          <w:sz w:val="24"/>
        </w:rPr>
      </w:pPr>
    </w:p>
    <w:p w:rsidR="002C78BD" w:rsidRDefault="002C78BD" w:rsidP="002C78BD">
      <w:pPr>
        <w:tabs>
          <w:tab w:val="left" w:pos="567"/>
          <w:tab w:val="left" w:pos="993"/>
        </w:tabs>
        <w:spacing w:after="120"/>
        <w:jc w:val="both"/>
        <w:rPr>
          <w:sz w:val="24"/>
        </w:rPr>
      </w:pPr>
      <w:r>
        <w:rPr>
          <w:sz w:val="24"/>
        </w:rPr>
        <w:tab/>
        <w:t>5)</w:t>
      </w:r>
      <w:r>
        <w:rPr>
          <w:sz w:val="24"/>
        </w:rPr>
        <w:tab/>
        <w:t>Wirtschaftliche, soziale und kulturelle Rechte im globalen Zeitalter (zusammen</w:t>
      </w:r>
      <w:r w:rsidR="00497F55">
        <w:rPr>
          <w:sz w:val="24"/>
        </w:rPr>
        <w:t xml:space="preserve"> mit Andreas Zimmermann), Duncker &amp; Humblot, Berlin</w:t>
      </w:r>
      <w:r>
        <w:rPr>
          <w:sz w:val="24"/>
        </w:rPr>
        <w:t xml:space="preserve"> 2008</w:t>
      </w:r>
    </w:p>
    <w:p w:rsidR="002C78BD" w:rsidRDefault="002C78BD" w:rsidP="002C78BD">
      <w:pPr>
        <w:tabs>
          <w:tab w:val="left" w:pos="567"/>
          <w:tab w:val="left" w:pos="993"/>
        </w:tabs>
        <w:spacing w:after="120"/>
        <w:jc w:val="both"/>
        <w:rPr>
          <w:sz w:val="24"/>
        </w:rPr>
      </w:pPr>
    </w:p>
    <w:p w:rsidR="002C78BD" w:rsidRDefault="002C78BD" w:rsidP="00721C74">
      <w:pPr>
        <w:tabs>
          <w:tab w:val="left" w:pos="567"/>
        </w:tabs>
        <w:spacing w:after="120"/>
        <w:jc w:val="both"/>
        <w:rPr>
          <w:sz w:val="24"/>
          <w:lang w:val="en-GB"/>
        </w:rPr>
      </w:pPr>
      <w:r>
        <w:rPr>
          <w:sz w:val="24"/>
        </w:rPr>
        <w:tab/>
      </w:r>
      <w:r w:rsidRPr="00DC2718">
        <w:rPr>
          <w:sz w:val="24"/>
          <w:lang w:val="en-GB"/>
        </w:rPr>
        <w:t>6)</w:t>
      </w:r>
      <w:r w:rsidRPr="00DC2718">
        <w:rPr>
          <w:sz w:val="24"/>
          <w:lang w:val="en-GB"/>
        </w:rPr>
        <w:tab/>
        <w:t>A Wiser Century? Judicial Dispute Settlement, Disarmament and the Laws of War 100 Years after the Secon</w:t>
      </w:r>
      <w:r w:rsidR="00497F55">
        <w:rPr>
          <w:sz w:val="24"/>
          <w:lang w:val="en-GB"/>
        </w:rPr>
        <w:t xml:space="preserve">d Hague Peace Conference, </w:t>
      </w:r>
      <w:r w:rsidR="00497F55" w:rsidRPr="00497F55">
        <w:rPr>
          <w:sz w:val="24"/>
          <w:lang w:val="en-US"/>
        </w:rPr>
        <w:t>Duncker &amp; Humblot</w:t>
      </w:r>
      <w:r w:rsidR="00497F55">
        <w:rPr>
          <w:sz w:val="24"/>
          <w:lang w:val="en-US"/>
        </w:rPr>
        <w:t>, Berlin</w:t>
      </w:r>
      <w:r w:rsidRPr="00DC2718">
        <w:rPr>
          <w:sz w:val="24"/>
          <w:lang w:val="en-GB"/>
        </w:rPr>
        <w:t xml:space="preserve"> 2009</w:t>
      </w:r>
    </w:p>
    <w:p w:rsidR="00721C74" w:rsidRDefault="00721C74" w:rsidP="002C78BD">
      <w:pPr>
        <w:spacing w:after="120"/>
        <w:jc w:val="both"/>
        <w:rPr>
          <w:sz w:val="24"/>
          <w:lang w:val="en-GB"/>
        </w:rPr>
      </w:pPr>
    </w:p>
    <w:p w:rsidR="00721C74" w:rsidRPr="002935B7" w:rsidRDefault="00721C74" w:rsidP="00721C74">
      <w:pPr>
        <w:tabs>
          <w:tab w:val="left" w:pos="567"/>
          <w:tab w:val="left" w:pos="993"/>
        </w:tabs>
        <w:spacing w:after="120"/>
        <w:jc w:val="both"/>
        <w:rPr>
          <w:sz w:val="24"/>
        </w:rPr>
      </w:pPr>
      <w:r w:rsidRPr="00A42ECD">
        <w:rPr>
          <w:sz w:val="24"/>
          <w:lang w:val="en-US"/>
        </w:rPr>
        <w:tab/>
      </w:r>
      <w:r w:rsidRPr="002935B7">
        <w:rPr>
          <w:sz w:val="24"/>
        </w:rPr>
        <w:t>7)</w:t>
      </w:r>
      <w:r w:rsidRPr="002935B7">
        <w:rPr>
          <w:sz w:val="24"/>
        </w:rPr>
        <w:tab/>
        <w:t>Bewahrung des ökologischen Gleichgewichts durch Völker- und Europarecht (z</w:t>
      </w:r>
      <w:r w:rsidRPr="002935B7">
        <w:rPr>
          <w:sz w:val="24"/>
        </w:rPr>
        <w:t>u</w:t>
      </w:r>
      <w:r w:rsidRPr="002935B7">
        <w:rPr>
          <w:sz w:val="24"/>
        </w:rPr>
        <w:t xml:space="preserve">sammen mit Alexander Proelß), </w:t>
      </w:r>
      <w:r w:rsidR="00497F55">
        <w:rPr>
          <w:sz w:val="24"/>
        </w:rPr>
        <w:t>Duncker &amp; Humblot,</w:t>
      </w:r>
      <w:r w:rsidR="00497F55" w:rsidRPr="002935B7">
        <w:rPr>
          <w:sz w:val="24"/>
        </w:rPr>
        <w:t xml:space="preserve"> </w:t>
      </w:r>
      <w:r w:rsidRPr="002935B7">
        <w:rPr>
          <w:sz w:val="24"/>
        </w:rPr>
        <w:t>Berlin 2010</w:t>
      </w:r>
    </w:p>
    <w:p w:rsidR="00721C74" w:rsidRDefault="00721C74" w:rsidP="002C78BD">
      <w:pPr>
        <w:spacing w:after="120"/>
        <w:jc w:val="both"/>
        <w:rPr>
          <w:sz w:val="24"/>
        </w:rPr>
      </w:pPr>
    </w:p>
    <w:p w:rsidR="009F43FC" w:rsidRDefault="009F43FC" w:rsidP="009F43FC">
      <w:pPr>
        <w:tabs>
          <w:tab w:val="left" w:pos="567"/>
          <w:tab w:val="left" w:pos="993"/>
        </w:tabs>
        <w:spacing w:after="120"/>
        <w:jc w:val="both"/>
        <w:rPr>
          <w:sz w:val="24"/>
        </w:rPr>
      </w:pPr>
      <w:r>
        <w:rPr>
          <w:sz w:val="24"/>
        </w:rPr>
        <w:tab/>
        <w:t>8)</w:t>
      </w:r>
      <w:r>
        <w:rPr>
          <w:sz w:val="24"/>
        </w:rPr>
        <w:tab/>
      </w:r>
      <w:r>
        <w:rPr>
          <w:sz w:val="24"/>
          <w:szCs w:val="24"/>
        </w:rPr>
        <w:t>Krisenherde im Fokus des Völkerrechts – Trouble Spots in the Focus of Internati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nal Law </w:t>
      </w:r>
      <w:r>
        <w:rPr>
          <w:sz w:val="24"/>
        </w:rPr>
        <w:t>(zusammen mit Alexander Proelß)</w:t>
      </w:r>
      <w:r>
        <w:rPr>
          <w:sz w:val="24"/>
          <w:szCs w:val="24"/>
        </w:rPr>
        <w:t xml:space="preserve">, </w:t>
      </w:r>
      <w:r w:rsidR="00497F55">
        <w:rPr>
          <w:sz w:val="24"/>
        </w:rPr>
        <w:t>Duncker &amp; Humblot</w:t>
      </w:r>
      <w:r w:rsidR="00497F55">
        <w:rPr>
          <w:sz w:val="24"/>
          <w:szCs w:val="24"/>
        </w:rPr>
        <w:t xml:space="preserve">, </w:t>
      </w:r>
      <w:r>
        <w:rPr>
          <w:sz w:val="24"/>
          <w:szCs w:val="24"/>
        </w:rPr>
        <w:t>Berlin 2010</w:t>
      </w:r>
    </w:p>
    <w:p w:rsidR="009F43FC" w:rsidRDefault="009F43FC" w:rsidP="009F43FC">
      <w:pPr>
        <w:spacing w:after="120"/>
        <w:jc w:val="both"/>
        <w:rPr>
          <w:sz w:val="24"/>
        </w:rPr>
      </w:pPr>
    </w:p>
    <w:p w:rsidR="009F43FC" w:rsidRDefault="009F43FC" w:rsidP="009F43FC">
      <w:pPr>
        <w:tabs>
          <w:tab w:val="left" w:pos="993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</w:rPr>
        <w:t>9)</w:t>
      </w:r>
      <w:r>
        <w:rPr>
          <w:sz w:val="24"/>
        </w:rPr>
        <w:tab/>
      </w:r>
      <w:r>
        <w:rPr>
          <w:sz w:val="24"/>
          <w:szCs w:val="24"/>
        </w:rPr>
        <w:t xml:space="preserve">Der „offene Verfassungsstaat“ des Grundgesetzes nach 60 Jahren – Anspruch und Wirklichkeit einer großen Errungenschaft, </w:t>
      </w:r>
      <w:r w:rsidR="00497F55">
        <w:rPr>
          <w:sz w:val="24"/>
        </w:rPr>
        <w:t>Duncker &amp; Humblot,</w:t>
      </w:r>
      <w:r w:rsidR="00497F55">
        <w:rPr>
          <w:sz w:val="24"/>
          <w:szCs w:val="24"/>
        </w:rPr>
        <w:t xml:space="preserve"> </w:t>
      </w:r>
      <w:r>
        <w:rPr>
          <w:sz w:val="24"/>
          <w:szCs w:val="24"/>
        </w:rPr>
        <w:t>Berlin 2010</w:t>
      </w:r>
    </w:p>
    <w:p w:rsidR="00A42ECD" w:rsidRDefault="00A42ECD" w:rsidP="009F43FC">
      <w:pPr>
        <w:tabs>
          <w:tab w:val="left" w:pos="993"/>
        </w:tabs>
        <w:spacing w:after="120"/>
        <w:ind w:firstLine="567"/>
        <w:jc w:val="both"/>
        <w:rPr>
          <w:sz w:val="24"/>
          <w:szCs w:val="24"/>
        </w:rPr>
      </w:pPr>
    </w:p>
    <w:p w:rsidR="00A42ECD" w:rsidRPr="00626912" w:rsidRDefault="00A42ECD" w:rsidP="009F43FC">
      <w:pPr>
        <w:tabs>
          <w:tab w:val="left" w:pos="993"/>
        </w:tabs>
        <w:spacing w:after="120"/>
        <w:ind w:firstLine="567"/>
        <w:jc w:val="both"/>
        <w:rPr>
          <w:sz w:val="24"/>
          <w:szCs w:val="24"/>
        </w:rPr>
      </w:pPr>
      <w:r w:rsidRPr="00626912">
        <w:rPr>
          <w:sz w:val="24"/>
          <w:szCs w:val="24"/>
        </w:rPr>
        <w:t>10)</w:t>
      </w:r>
      <w:r w:rsidRPr="00626912">
        <w:rPr>
          <w:sz w:val="24"/>
          <w:szCs w:val="24"/>
        </w:rPr>
        <w:tab/>
      </w:r>
      <w:r w:rsidR="00626912" w:rsidRPr="00626912">
        <w:rPr>
          <w:sz w:val="24"/>
          <w:szCs w:val="24"/>
        </w:rPr>
        <w:t>Internationales Wirtschafts</w:t>
      </w:r>
      <w:r w:rsidR="00626912">
        <w:rPr>
          <w:sz w:val="24"/>
          <w:szCs w:val="24"/>
        </w:rPr>
        <w:t xml:space="preserve">- und Finanzrecht in der Krise, </w:t>
      </w:r>
      <w:r w:rsidR="00497F55">
        <w:rPr>
          <w:sz w:val="24"/>
        </w:rPr>
        <w:t>Duncker &amp; Humblot</w:t>
      </w:r>
      <w:r w:rsidR="00497F55">
        <w:rPr>
          <w:sz w:val="24"/>
          <w:szCs w:val="24"/>
        </w:rPr>
        <w:t xml:space="preserve">, </w:t>
      </w:r>
      <w:r w:rsidR="00626912">
        <w:rPr>
          <w:sz w:val="24"/>
          <w:szCs w:val="24"/>
        </w:rPr>
        <w:t>Berlin 2011</w:t>
      </w:r>
    </w:p>
    <w:p w:rsidR="009F43FC" w:rsidRPr="00721C74" w:rsidRDefault="009F43FC" w:rsidP="002C78BD">
      <w:pPr>
        <w:spacing w:after="120"/>
        <w:jc w:val="both"/>
        <w:rPr>
          <w:sz w:val="24"/>
        </w:rPr>
      </w:pPr>
    </w:p>
    <w:p w:rsidR="00CA37B6" w:rsidRPr="0010764A" w:rsidRDefault="00CA37B6" w:rsidP="00CA37B6">
      <w:pPr>
        <w:tabs>
          <w:tab w:val="left" w:pos="567"/>
          <w:tab w:val="left" w:pos="993"/>
        </w:tabs>
        <w:spacing w:after="120"/>
        <w:jc w:val="both"/>
        <w:rPr>
          <w:sz w:val="24"/>
          <w:szCs w:val="24"/>
        </w:rPr>
      </w:pPr>
      <w:r w:rsidRPr="0010764A">
        <w:rPr>
          <w:sz w:val="24"/>
          <w:szCs w:val="24"/>
        </w:rPr>
        <w:tab/>
        <w:t>11)</w:t>
      </w:r>
      <w:r w:rsidRPr="0010764A">
        <w:rPr>
          <w:sz w:val="24"/>
          <w:szCs w:val="24"/>
        </w:rPr>
        <w:tab/>
        <w:t>Herausforderungen und Perspektiven der EU</w:t>
      </w:r>
      <w:r>
        <w:rPr>
          <w:sz w:val="24"/>
          <w:szCs w:val="24"/>
        </w:rPr>
        <w:t xml:space="preserve">, Duncker &amp; Humblot, Berlin </w:t>
      </w:r>
      <w:r w:rsidRPr="0010764A">
        <w:rPr>
          <w:sz w:val="24"/>
          <w:szCs w:val="24"/>
        </w:rPr>
        <w:t>2012</w:t>
      </w:r>
    </w:p>
    <w:p w:rsidR="00285160" w:rsidRDefault="00285160" w:rsidP="00CA37B6">
      <w:pPr>
        <w:spacing w:after="120"/>
        <w:ind w:firstLine="567"/>
        <w:jc w:val="both"/>
        <w:rPr>
          <w:sz w:val="24"/>
        </w:rPr>
      </w:pPr>
    </w:p>
    <w:p w:rsidR="00581CB9" w:rsidRDefault="00581CB9" w:rsidP="00581CB9">
      <w:pPr>
        <w:tabs>
          <w:tab w:val="left" w:pos="567"/>
          <w:tab w:val="left" w:pos="993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716CE">
        <w:rPr>
          <w:sz w:val="24"/>
          <w:szCs w:val="24"/>
        </w:rPr>
        <w:t>12)</w:t>
      </w:r>
      <w:r w:rsidRPr="009716CE">
        <w:rPr>
          <w:sz w:val="24"/>
          <w:szCs w:val="24"/>
        </w:rPr>
        <w:tab/>
        <w:t>The EU Between “an Ever Closer Union” and Inalienable Policy Domains of Me</w:t>
      </w:r>
      <w:r w:rsidRPr="009716CE">
        <w:rPr>
          <w:sz w:val="24"/>
          <w:szCs w:val="24"/>
        </w:rPr>
        <w:t>m</w:t>
      </w:r>
      <w:r w:rsidRPr="009716CE">
        <w:rPr>
          <w:sz w:val="24"/>
          <w:szCs w:val="24"/>
        </w:rPr>
        <w:t>ber States (zusammen mit Oskar Josef Gstrein und Sebastian Zeitzmann), Baden-Baden 2014</w:t>
      </w:r>
    </w:p>
    <w:p w:rsidR="00581CB9" w:rsidRDefault="00581CB9" w:rsidP="00581CB9">
      <w:pPr>
        <w:tabs>
          <w:tab w:val="left" w:pos="567"/>
          <w:tab w:val="left" w:pos="993"/>
        </w:tabs>
        <w:spacing w:after="120"/>
        <w:jc w:val="both"/>
        <w:rPr>
          <w:sz w:val="24"/>
          <w:szCs w:val="24"/>
        </w:rPr>
      </w:pPr>
    </w:p>
    <w:p w:rsidR="00581CB9" w:rsidRPr="009716CE" w:rsidRDefault="00581CB9" w:rsidP="00581CB9">
      <w:pPr>
        <w:tabs>
          <w:tab w:val="left" w:pos="567"/>
          <w:tab w:val="left" w:pos="993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13)</w:t>
      </w:r>
      <w:r>
        <w:rPr>
          <w:sz w:val="24"/>
          <w:szCs w:val="24"/>
        </w:rPr>
        <w:tab/>
        <w:t xml:space="preserve">Räume im Völker- und Europarecht (zusammen mit Kerstin Odendahl), Berlin 2014 </w:t>
      </w:r>
    </w:p>
    <w:p w:rsidR="00581CB9" w:rsidRDefault="00581CB9" w:rsidP="00CA37B6">
      <w:pPr>
        <w:spacing w:after="120"/>
        <w:ind w:firstLine="567"/>
        <w:jc w:val="both"/>
        <w:rPr>
          <w:sz w:val="24"/>
        </w:rPr>
      </w:pPr>
    </w:p>
    <w:p w:rsidR="00594407" w:rsidRPr="00721C74" w:rsidRDefault="00594407" w:rsidP="00E354B1">
      <w:pPr>
        <w:tabs>
          <w:tab w:val="left" w:pos="1134"/>
        </w:tabs>
        <w:spacing w:after="120"/>
        <w:ind w:firstLine="567"/>
        <w:jc w:val="both"/>
        <w:rPr>
          <w:sz w:val="24"/>
        </w:rPr>
      </w:pPr>
      <w:r>
        <w:rPr>
          <w:sz w:val="24"/>
          <w:szCs w:val="24"/>
        </w:rPr>
        <w:t>14)</w:t>
      </w:r>
      <w:r>
        <w:rPr>
          <w:sz w:val="24"/>
          <w:szCs w:val="24"/>
        </w:rPr>
        <w:tab/>
        <w:t>Asyl und Migration in Europa – rechtliche Herausforderungen und Perspektiven (zusammen mit Marc Bungenberg und Torsten Stein), Baden-Baden 2016</w:t>
      </w:r>
    </w:p>
    <w:p w:rsidR="00C10457" w:rsidRPr="00471870" w:rsidRDefault="00C10457">
      <w:pPr>
        <w:spacing w:after="120"/>
        <w:jc w:val="both"/>
        <w:rPr>
          <w:sz w:val="24"/>
        </w:rPr>
      </w:pPr>
    </w:p>
    <w:p w:rsidR="00471870" w:rsidRDefault="00471870" w:rsidP="00295020">
      <w:pPr>
        <w:tabs>
          <w:tab w:val="left" w:pos="1134"/>
        </w:tabs>
        <w:spacing w:after="120"/>
        <w:ind w:firstLine="567"/>
        <w:jc w:val="both"/>
        <w:rPr>
          <w:sz w:val="24"/>
          <w:szCs w:val="24"/>
        </w:rPr>
      </w:pPr>
      <w:r w:rsidRPr="00941B09">
        <w:rPr>
          <w:sz w:val="24"/>
          <w:szCs w:val="24"/>
          <w:lang w:val="en-US"/>
        </w:rPr>
        <w:t>15)</w:t>
      </w:r>
      <w:r w:rsidRPr="00941B09">
        <w:rPr>
          <w:sz w:val="24"/>
          <w:szCs w:val="24"/>
          <w:lang w:val="en-US"/>
        </w:rPr>
        <w:tab/>
        <w:t>Flexibility in the EU and Beyond: How Much Differentiation Can European Int</w:t>
      </w:r>
      <w:r w:rsidRPr="00941B09">
        <w:rPr>
          <w:sz w:val="24"/>
          <w:szCs w:val="24"/>
          <w:lang w:val="en-US"/>
        </w:rPr>
        <w:t>e</w:t>
      </w:r>
      <w:r w:rsidRPr="00941B09">
        <w:rPr>
          <w:sz w:val="24"/>
          <w:szCs w:val="24"/>
          <w:lang w:val="en-US"/>
        </w:rPr>
        <w:t xml:space="preserve">gration Bear? </w:t>
      </w:r>
      <w:r w:rsidRPr="00941B09">
        <w:rPr>
          <w:sz w:val="24"/>
          <w:szCs w:val="24"/>
        </w:rPr>
        <w:t>(zusammen mit Desirée C. Schmitt und Sebastian Zeitzmann), Baden-Baden 2017</w:t>
      </w:r>
    </w:p>
    <w:p w:rsidR="005D68CE" w:rsidRDefault="005D68CE" w:rsidP="00295020">
      <w:pPr>
        <w:tabs>
          <w:tab w:val="left" w:pos="1134"/>
        </w:tabs>
        <w:spacing w:after="120"/>
        <w:ind w:firstLine="567"/>
        <w:jc w:val="both"/>
        <w:rPr>
          <w:sz w:val="24"/>
          <w:szCs w:val="24"/>
        </w:rPr>
      </w:pPr>
    </w:p>
    <w:p w:rsidR="005D68CE" w:rsidRPr="00980CAE" w:rsidRDefault="005D68CE" w:rsidP="005D68CE">
      <w:pPr>
        <w:tabs>
          <w:tab w:val="left" w:pos="567"/>
          <w:tab w:val="left" w:pos="1134"/>
        </w:tabs>
        <w:spacing w:after="120"/>
        <w:jc w:val="both"/>
        <w:rPr>
          <w:sz w:val="24"/>
          <w:szCs w:val="24"/>
          <w:lang w:val="en-GB"/>
        </w:rPr>
      </w:pPr>
      <w:r w:rsidRPr="00BC32E8">
        <w:rPr>
          <w:sz w:val="24"/>
          <w:szCs w:val="24"/>
        </w:rPr>
        <w:tab/>
      </w:r>
      <w:r w:rsidRPr="00980CAE">
        <w:rPr>
          <w:sz w:val="24"/>
          <w:szCs w:val="24"/>
          <w:lang w:val="en-GB"/>
        </w:rPr>
        <w:t>16)</w:t>
      </w:r>
      <w:r w:rsidRPr="00980CAE">
        <w:rPr>
          <w:sz w:val="24"/>
          <w:szCs w:val="24"/>
          <w:lang w:val="en-GB"/>
        </w:rPr>
        <w:tab/>
        <w:t xml:space="preserve">The European Union as Protector and </w:t>
      </w:r>
      <w:r>
        <w:rPr>
          <w:sz w:val="24"/>
          <w:szCs w:val="24"/>
          <w:lang w:val="en-GB"/>
        </w:rPr>
        <w:t>Promoter of Equality, Cham (Schweiz) 2020</w:t>
      </w:r>
    </w:p>
    <w:p w:rsidR="005D68CE" w:rsidRPr="005D68CE" w:rsidRDefault="005D68CE" w:rsidP="00295020">
      <w:pPr>
        <w:tabs>
          <w:tab w:val="left" w:pos="1134"/>
        </w:tabs>
        <w:spacing w:after="120"/>
        <w:ind w:firstLine="567"/>
        <w:jc w:val="both"/>
        <w:rPr>
          <w:b/>
          <w:sz w:val="24"/>
          <w:lang w:val="en-GB"/>
        </w:rPr>
      </w:pPr>
    </w:p>
    <w:p w:rsidR="00F31AD6" w:rsidRPr="005D68CE" w:rsidRDefault="00F31AD6">
      <w:pPr>
        <w:spacing w:after="120"/>
        <w:jc w:val="both"/>
        <w:rPr>
          <w:b/>
          <w:sz w:val="24"/>
          <w:lang w:val="en-GB"/>
        </w:rPr>
      </w:pPr>
    </w:p>
    <w:p w:rsidR="00786F86" w:rsidRPr="00A42ECD" w:rsidRDefault="00786F86" w:rsidP="00F31AD6">
      <w:pPr>
        <w:tabs>
          <w:tab w:val="left" w:pos="567"/>
        </w:tabs>
        <w:spacing w:after="120"/>
        <w:jc w:val="both"/>
        <w:rPr>
          <w:b/>
          <w:sz w:val="24"/>
        </w:rPr>
      </w:pPr>
      <w:r w:rsidRPr="00A42ECD">
        <w:rPr>
          <w:b/>
          <w:sz w:val="24"/>
        </w:rPr>
        <w:t>B.</w:t>
      </w:r>
      <w:r w:rsidRPr="00A42ECD">
        <w:rPr>
          <w:b/>
          <w:sz w:val="24"/>
        </w:rPr>
        <w:tab/>
        <w:t>Reihen</w:t>
      </w:r>
    </w:p>
    <w:p w:rsidR="00D3076A" w:rsidRPr="00CC1B75" w:rsidRDefault="00CC1B75" w:rsidP="00CC1B75">
      <w:pPr>
        <w:tabs>
          <w:tab w:val="left" w:pos="567"/>
          <w:tab w:val="left" w:pos="993"/>
        </w:tabs>
        <w:spacing w:after="120"/>
        <w:jc w:val="both"/>
        <w:rPr>
          <w:sz w:val="24"/>
        </w:rPr>
      </w:pPr>
      <w:r w:rsidRPr="00A42ECD">
        <w:rPr>
          <w:sz w:val="24"/>
        </w:rPr>
        <w:tab/>
      </w:r>
      <w:r w:rsidR="00786F86" w:rsidRPr="00786F86">
        <w:rPr>
          <w:sz w:val="24"/>
        </w:rPr>
        <w:t>1</w:t>
      </w:r>
      <w:r w:rsidRPr="00CC1B75">
        <w:rPr>
          <w:sz w:val="24"/>
        </w:rPr>
        <w:t>)</w:t>
      </w:r>
      <w:r w:rsidRPr="00CC1B75">
        <w:rPr>
          <w:sz w:val="24"/>
        </w:rPr>
        <w:tab/>
        <w:t xml:space="preserve">German Yearbook of International Law </w:t>
      </w:r>
      <w:r w:rsidR="00066FF5">
        <w:rPr>
          <w:sz w:val="24"/>
        </w:rPr>
        <w:t>von Bd. 48 (2005) bis Bd. 54 (2011) (z</w:t>
      </w:r>
      <w:r w:rsidR="00066FF5">
        <w:rPr>
          <w:sz w:val="24"/>
        </w:rPr>
        <w:t>u</w:t>
      </w:r>
      <w:r w:rsidR="00066FF5">
        <w:rPr>
          <w:sz w:val="24"/>
        </w:rPr>
        <w:t>nächst zusammen mit Jost Delbrück und Andreas Zimmermann, dann zusammen mit Alexa</w:t>
      </w:r>
      <w:r w:rsidR="00066FF5">
        <w:rPr>
          <w:sz w:val="24"/>
        </w:rPr>
        <w:t>n</w:t>
      </w:r>
      <w:r w:rsidR="00066FF5">
        <w:rPr>
          <w:sz w:val="24"/>
        </w:rPr>
        <w:t>der Proelß, zuletzt zusammen mit Kerstin Odendahl und Nele Matz-Lück)</w:t>
      </w:r>
    </w:p>
    <w:p w:rsidR="00CC1B75" w:rsidRDefault="00CC1B75" w:rsidP="00CC1B75">
      <w:pPr>
        <w:tabs>
          <w:tab w:val="left" w:pos="567"/>
          <w:tab w:val="left" w:pos="993"/>
        </w:tabs>
        <w:spacing w:after="120"/>
        <w:jc w:val="both"/>
        <w:rPr>
          <w:sz w:val="24"/>
        </w:rPr>
      </w:pPr>
    </w:p>
    <w:p w:rsidR="00CC1B75" w:rsidRDefault="00786F86" w:rsidP="00CC1B75">
      <w:pPr>
        <w:tabs>
          <w:tab w:val="left" w:pos="567"/>
          <w:tab w:val="left" w:pos="993"/>
        </w:tabs>
        <w:spacing w:after="120"/>
        <w:jc w:val="both"/>
        <w:rPr>
          <w:sz w:val="24"/>
        </w:rPr>
      </w:pPr>
      <w:r>
        <w:rPr>
          <w:sz w:val="24"/>
        </w:rPr>
        <w:tab/>
        <w:t>2</w:t>
      </w:r>
      <w:r w:rsidR="00CC1B75">
        <w:rPr>
          <w:sz w:val="24"/>
        </w:rPr>
        <w:t>)</w:t>
      </w:r>
      <w:r w:rsidR="00CC1B75">
        <w:rPr>
          <w:sz w:val="24"/>
        </w:rPr>
        <w:tab/>
        <w:t xml:space="preserve">Veröffentlichungen des Walther-Schücking-Instituts für Internationales Recht an der Universität Kiel ab Bd. 160 (2006) </w:t>
      </w:r>
      <w:r w:rsidR="00066FF5">
        <w:rPr>
          <w:sz w:val="24"/>
        </w:rPr>
        <w:t>(zunächst zusammen mit Jost Delbrück und Andreas Zimmermann, dann zusammen mit Alexander Proelß, zuletzt zusammen mit Kerstin Odendahl und Nele Matz-Lück)</w:t>
      </w:r>
    </w:p>
    <w:p w:rsidR="005A4AB3" w:rsidRDefault="005A4AB3" w:rsidP="00CC1B75">
      <w:pPr>
        <w:tabs>
          <w:tab w:val="left" w:pos="567"/>
          <w:tab w:val="left" w:pos="993"/>
        </w:tabs>
        <w:spacing w:after="120"/>
        <w:jc w:val="both"/>
        <w:rPr>
          <w:sz w:val="24"/>
        </w:rPr>
      </w:pPr>
    </w:p>
    <w:p w:rsidR="005A4AB3" w:rsidRDefault="005A4AB3" w:rsidP="005A4AB3">
      <w:pPr>
        <w:tabs>
          <w:tab w:val="left" w:pos="567"/>
          <w:tab w:val="left" w:pos="993"/>
        </w:tabs>
        <w:spacing w:after="120"/>
        <w:jc w:val="both"/>
        <w:rPr>
          <w:sz w:val="24"/>
        </w:rPr>
      </w:pPr>
      <w:r>
        <w:rPr>
          <w:sz w:val="24"/>
        </w:rPr>
        <w:tab/>
        <w:t>3)</w:t>
      </w:r>
      <w:r>
        <w:rPr>
          <w:sz w:val="24"/>
        </w:rPr>
        <w:tab/>
        <w:t>Saarbrücker Studien zum Internationalen Recht bei Nomos ab Oktober 2012 (z</w:t>
      </w:r>
      <w:r>
        <w:rPr>
          <w:sz w:val="24"/>
        </w:rPr>
        <w:t>u</w:t>
      </w:r>
      <w:r>
        <w:rPr>
          <w:sz w:val="24"/>
        </w:rPr>
        <w:t>sammen mit Wilfried Fiedler, Heike Jung, Michael Martinek, Georg Ress, Carl-Friedrich St</w:t>
      </w:r>
      <w:r>
        <w:rPr>
          <w:sz w:val="24"/>
        </w:rPr>
        <w:t>u</w:t>
      </w:r>
      <w:r>
        <w:rPr>
          <w:sz w:val="24"/>
        </w:rPr>
        <w:t>ckenberg, Torsten Stein und Claude Witz)</w:t>
      </w:r>
    </w:p>
    <w:p w:rsidR="005A4AB3" w:rsidRDefault="005A4AB3" w:rsidP="005A4AB3">
      <w:pPr>
        <w:tabs>
          <w:tab w:val="left" w:pos="567"/>
          <w:tab w:val="left" w:pos="993"/>
        </w:tabs>
        <w:spacing w:after="120"/>
        <w:jc w:val="both"/>
        <w:rPr>
          <w:sz w:val="24"/>
        </w:rPr>
      </w:pPr>
    </w:p>
    <w:p w:rsidR="005A4AB3" w:rsidRDefault="005A4AB3" w:rsidP="005A4AB3">
      <w:pPr>
        <w:tabs>
          <w:tab w:val="left" w:pos="567"/>
          <w:tab w:val="left" w:pos="993"/>
        </w:tabs>
        <w:spacing w:after="120"/>
        <w:jc w:val="both"/>
        <w:rPr>
          <w:sz w:val="24"/>
        </w:rPr>
      </w:pPr>
      <w:r>
        <w:rPr>
          <w:sz w:val="24"/>
        </w:rPr>
        <w:tab/>
        <w:t>4)</w:t>
      </w:r>
      <w:r>
        <w:rPr>
          <w:sz w:val="24"/>
        </w:rPr>
        <w:tab/>
        <w:t>Schriften des Europa-Instituts der Universität des Saarlandes – Rechtswissenschaft ab Bd. 92 (2013) bei Nomos (zusa</w:t>
      </w:r>
      <w:r w:rsidR="00594407">
        <w:rPr>
          <w:sz w:val="24"/>
        </w:rPr>
        <w:t>mmen mit Marc Bungenberg, Georg Ress</w:t>
      </w:r>
      <w:r>
        <w:rPr>
          <w:sz w:val="24"/>
        </w:rPr>
        <w:t xml:space="preserve"> und Torsten Stein)</w:t>
      </w:r>
    </w:p>
    <w:p w:rsidR="00363758" w:rsidRDefault="00363758" w:rsidP="005A4AB3">
      <w:pPr>
        <w:tabs>
          <w:tab w:val="left" w:pos="567"/>
          <w:tab w:val="left" w:pos="993"/>
        </w:tabs>
        <w:spacing w:after="120"/>
        <w:jc w:val="both"/>
        <w:rPr>
          <w:sz w:val="24"/>
        </w:rPr>
      </w:pPr>
    </w:p>
    <w:p w:rsidR="00363758" w:rsidRDefault="00363758" w:rsidP="005A4AB3">
      <w:pPr>
        <w:tabs>
          <w:tab w:val="left" w:pos="567"/>
          <w:tab w:val="left" w:pos="993"/>
        </w:tabs>
        <w:spacing w:after="120"/>
        <w:jc w:val="both"/>
        <w:rPr>
          <w:sz w:val="24"/>
        </w:rPr>
      </w:pPr>
      <w:r>
        <w:rPr>
          <w:sz w:val="24"/>
        </w:rPr>
        <w:tab/>
      </w:r>
      <w:r w:rsidRPr="00852945">
        <w:rPr>
          <w:sz w:val="24"/>
        </w:rPr>
        <w:t>5)</w:t>
      </w:r>
      <w:r w:rsidRPr="00852945">
        <w:rPr>
          <w:sz w:val="24"/>
        </w:rPr>
        <w:tab/>
        <w:t>European Union and its Neighbours in a Globalized World bei Springer Nature ab 2020 (zusammen mit Marc Bungenberg, Mareike Fröhlich und N</w:t>
      </w:r>
      <w:r>
        <w:rPr>
          <w:sz w:val="24"/>
        </w:rPr>
        <w:t>eda Zdraveva)</w:t>
      </w:r>
    </w:p>
    <w:p w:rsidR="005A4AB3" w:rsidRDefault="005A4AB3" w:rsidP="005A4AB3">
      <w:pPr>
        <w:tabs>
          <w:tab w:val="left" w:pos="567"/>
          <w:tab w:val="left" w:pos="993"/>
        </w:tabs>
        <w:spacing w:after="120"/>
        <w:jc w:val="both"/>
        <w:rPr>
          <w:sz w:val="24"/>
        </w:rPr>
      </w:pPr>
    </w:p>
    <w:p w:rsidR="005A4AB3" w:rsidRPr="00D21ACB" w:rsidRDefault="005A4AB3" w:rsidP="005A4AB3">
      <w:pPr>
        <w:tabs>
          <w:tab w:val="left" w:pos="567"/>
          <w:tab w:val="left" w:pos="993"/>
        </w:tabs>
        <w:spacing w:after="120"/>
        <w:jc w:val="both"/>
        <w:rPr>
          <w:b/>
          <w:sz w:val="24"/>
        </w:rPr>
      </w:pPr>
      <w:r w:rsidRPr="00D21ACB">
        <w:rPr>
          <w:b/>
          <w:sz w:val="24"/>
        </w:rPr>
        <w:t>C.</w:t>
      </w:r>
      <w:r w:rsidRPr="00D21ACB">
        <w:rPr>
          <w:b/>
          <w:sz w:val="24"/>
        </w:rPr>
        <w:tab/>
        <w:t>Zeitschriften</w:t>
      </w:r>
    </w:p>
    <w:p w:rsidR="005A4AB3" w:rsidRDefault="005A4AB3" w:rsidP="005A4AB3">
      <w:pPr>
        <w:tabs>
          <w:tab w:val="left" w:pos="567"/>
          <w:tab w:val="left" w:pos="993"/>
        </w:tabs>
        <w:spacing w:after="120"/>
        <w:jc w:val="both"/>
        <w:rPr>
          <w:sz w:val="24"/>
        </w:rPr>
      </w:pPr>
      <w:r>
        <w:rPr>
          <w:sz w:val="24"/>
        </w:rPr>
        <w:t>Zeitschrift für Europarechtliche Studien (Z</w:t>
      </w:r>
      <w:r w:rsidR="00594407">
        <w:rPr>
          <w:sz w:val="24"/>
        </w:rPr>
        <w:t>EuS) (</w:t>
      </w:r>
      <w:r w:rsidR="00471870">
        <w:rPr>
          <w:sz w:val="24"/>
        </w:rPr>
        <w:t>zusammen mit Marc Bungenberg, Christian Calliess, Michael Hahn und Torsten Stein</w:t>
      </w:r>
      <w:r>
        <w:rPr>
          <w:sz w:val="24"/>
        </w:rPr>
        <w:t>)</w:t>
      </w:r>
    </w:p>
    <w:p w:rsidR="009B1520" w:rsidRDefault="009B1520" w:rsidP="00CC1B75">
      <w:pPr>
        <w:tabs>
          <w:tab w:val="left" w:pos="567"/>
          <w:tab w:val="left" w:pos="993"/>
        </w:tabs>
        <w:spacing w:after="120"/>
        <w:jc w:val="both"/>
        <w:rPr>
          <w:sz w:val="24"/>
        </w:rPr>
      </w:pPr>
    </w:p>
    <w:p w:rsidR="00CA37B6" w:rsidRDefault="00363758" w:rsidP="00CA37B6">
      <w:pPr>
        <w:pStyle w:val="berschrift3"/>
        <w:rPr>
          <w:bCs w:val="0"/>
        </w:rPr>
      </w:pPr>
      <w:r>
        <w:rPr>
          <w:bCs w:val="0"/>
        </w:rPr>
        <w:br w:type="page"/>
      </w:r>
      <w:r w:rsidR="00CA37B6">
        <w:rPr>
          <w:bCs w:val="0"/>
        </w:rPr>
        <w:lastRenderedPageBreak/>
        <w:t>V.</w:t>
      </w:r>
      <w:r w:rsidR="00CA37B6">
        <w:rPr>
          <w:bCs w:val="0"/>
        </w:rPr>
        <w:tab/>
        <w:t>Diskussionsbeiträge</w:t>
      </w:r>
    </w:p>
    <w:p w:rsidR="00CA37B6" w:rsidRPr="00D216AE" w:rsidRDefault="00CA37B6" w:rsidP="00CA37B6">
      <w:pPr>
        <w:rPr>
          <w:sz w:val="24"/>
          <w:szCs w:val="24"/>
        </w:rPr>
      </w:pPr>
    </w:p>
    <w:p w:rsidR="00CA37B6" w:rsidRDefault="00CA37B6" w:rsidP="00CA37B6">
      <w:pPr>
        <w:tabs>
          <w:tab w:val="left" w:pos="567"/>
          <w:tab w:val="left" w:pos="993"/>
        </w:tabs>
        <w:rPr>
          <w:sz w:val="24"/>
          <w:szCs w:val="24"/>
        </w:rPr>
      </w:pPr>
      <w:r w:rsidRPr="00D216AE">
        <w:rPr>
          <w:sz w:val="24"/>
          <w:szCs w:val="24"/>
        </w:rPr>
        <w:tab/>
        <w:t>1)</w:t>
      </w:r>
      <w:r w:rsidRPr="00D216AE">
        <w:rPr>
          <w:sz w:val="24"/>
          <w:szCs w:val="24"/>
        </w:rPr>
        <w:tab/>
      </w:r>
      <w:r>
        <w:rPr>
          <w:sz w:val="24"/>
          <w:szCs w:val="24"/>
        </w:rPr>
        <w:t>28. Tagung der Deutschen Gesellschaft für Völkerrecht 2003, in: Das internationale Recht im Nord-Süd-Verhältnis. Berichte der Deutschen Gesellschaft für Völkerrecht Band 41 (2005), S. 144</w:t>
      </w:r>
    </w:p>
    <w:p w:rsidR="00CA37B6" w:rsidRDefault="00CA37B6" w:rsidP="00CA37B6">
      <w:pPr>
        <w:tabs>
          <w:tab w:val="left" w:pos="567"/>
          <w:tab w:val="left" w:pos="993"/>
        </w:tabs>
        <w:rPr>
          <w:sz w:val="24"/>
          <w:szCs w:val="24"/>
        </w:rPr>
      </w:pPr>
    </w:p>
    <w:p w:rsidR="00CA37B6" w:rsidRDefault="00CA37B6" w:rsidP="00CA37B6">
      <w:pPr>
        <w:tabs>
          <w:tab w:val="left" w:pos="567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ab/>
        <w:t>2)</w:t>
      </w:r>
      <w:r>
        <w:rPr>
          <w:sz w:val="24"/>
          <w:szCs w:val="24"/>
        </w:rPr>
        <w:tab/>
        <w:t>29. Tagung der Deutschen Gesellschaft für Völkerrecht 2005, in: Die Rechtsko</w:t>
      </w:r>
      <w:r>
        <w:rPr>
          <w:sz w:val="24"/>
          <w:szCs w:val="24"/>
        </w:rPr>
        <w:t>n</w:t>
      </w:r>
      <w:r>
        <w:rPr>
          <w:sz w:val="24"/>
          <w:szCs w:val="24"/>
        </w:rPr>
        <w:t>trolle von Organen der Staatengemeinschaft. Vielfalt der Gerichte – Einheit des Prozes</w:t>
      </w:r>
      <w:r>
        <w:rPr>
          <w:sz w:val="24"/>
          <w:szCs w:val="24"/>
        </w:rPr>
        <w:t>s</w:t>
      </w:r>
      <w:r>
        <w:rPr>
          <w:sz w:val="24"/>
          <w:szCs w:val="24"/>
        </w:rPr>
        <w:t>rechts? Berichte der Deutschen Gesellschaft für Völkerrecht Band 42 (2007), S. 116 f.</w:t>
      </w:r>
    </w:p>
    <w:p w:rsidR="00CA37B6" w:rsidRDefault="00CA37B6" w:rsidP="00CA37B6">
      <w:pPr>
        <w:tabs>
          <w:tab w:val="left" w:pos="567"/>
          <w:tab w:val="left" w:pos="993"/>
        </w:tabs>
        <w:rPr>
          <w:sz w:val="24"/>
          <w:szCs w:val="24"/>
        </w:rPr>
      </w:pPr>
    </w:p>
    <w:p w:rsidR="00CA37B6" w:rsidRDefault="00CA37B6" w:rsidP="00CA37B6">
      <w:pPr>
        <w:tabs>
          <w:tab w:val="left" w:pos="567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ab/>
        <w:t>3)</w:t>
      </w:r>
      <w:r>
        <w:rPr>
          <w:sz w:val="24"/>
          <w:szCs w:val="24"/>
        </w:rPr>
        <w:tab/>
        <w:t>30. Tagung der Deutschen Gesellschaft für Völkerrecht 2007, in: Pluralistische G</w:t>
      </w:r>
      <w:r>
        <w:rPr>
          <w:sz w:val="24"/>
          <w:szCs w:val="24"/>
        </w:rPr>
        <w:t>e</w:t>
      </w:r>
      <w:r>
        <w:rPr>
          <w:sz w:val="24"/>
          <w:szCs w:val="24"/>
        </w:rPr>
        <w:t>sellschaften und Internationales Recht. Berichte der Deutschen Gesellschaft für Völkerrecht Band 43 (2008), S. 111 f.</w:t>
      </w:r>
    </w:p>
    <w:p w:rsidR="00CA37B6" w:rsidRDefault="00CA37B6" w:rsidP="00CA37B6">
      <w:pPr>
        <w:tabs>
          <w:tab w:val="left" w:pos="567"/>
          <w:tab w:val="left" w:pos="993"/>
        </w:tabs>
        <w:rPr>
          <w:sz w:val="24"/>
          <w:szCs w:val="24"/>
        </w:rPr>
      </w:pPr>
    </w:p>
    <w:p w:rsidR="00CA37B6" w:rsidRPr="00D216AE" w:rsidRDefault="00CA37B6" w:rsidP="00CA37B6">
      <w:pPr>
        <w:tabs>
          <w:tab w:val="left" w:pos="567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ab/>
        <w:t>4)</w:t>
      </w:r>
      <w:r>
        <w:rPr>
          <w:sz w:val="24"/>
          <w:szCs w:val="24"/>
        </w:rPr>
        <w:tab/>
        <w:t>32. Tagung der Deutschen Gesellschaft für Völkerrecht 2011, in: Paradigmen im internationalen Recht. Implikationen der Weltfinanzkrise für das internationale Recht. Beric</w:t>
      </w:r>
      <w:r>
        <w:rPr>
          <w:sz w:val="24"/>
          <w:szCs w:val="24"/>
        </w:rPr>
        <w:t>h</w:t>
      </w:r>
      <w:r>
        <w:rPr>
          <w:sz w:val="24"/>
          <w:szCs w:val="24"/>
        </w:rPr>
        <w:t>te der Deutschen Gesellschaft für Völkerrecht Band 45 (2012), S. 73 f.</w:t>
      </w:r>
    </w:p>
    <w:p w:rsidR="005B49A1" w:rsidRDefault="005B49A1" w:rsidP="00CA37B6">
      <w:pPr>
        <w:tabs>
          <w:tab w:val="left" w:pos="567"/>
          <w:tab w:val="left" w:pos="993"/>
        </w:tabs>
        <w:spacing w:after="120"/>
        <w:jc w:val="both"/>
        <w:rPr>
          <w:sz w:val="24"/>
        </w:rPr>
      </w:pPr>
    </w:p>
    <w:p w:rsidR="005A4AB3" w:rsidRPr="00D216AE" w:rsidRDefault="005A4AB3" w:rsidP="005A4AB3">
      <w:pPr>
        <w:tabs>
          <w:tab w:val="left" w:pos="567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ab/>
        <w:t>5)</w:t>
      </w:r>
      <w:r>
        <w:rPr>
          <w:sz w:val="24"/>
          <w:szCs w:val="24"/>
        </w:rPr>
        <w:tab/>
        <w:t>Jahrestagung 2012 der Vereinigung der Deutschen Staatsrechtslehrer, in: Veröffen</w:t>
      </w:r>
      <w:r>
        <w:rPr>
          <w:sz w:val="24"/>
          <w:szCs w:val="24"/>
        </w:rPr>
        <w:t>t</w:t>
      </w:r>
      <w:r>
        <w:rPr>
          <w:sz w:val="24"/>
          <w:szCs w:val="24"/>
        </w:rPr>
        <w:t>lichungen der Vereinigung der Deutschen Staatsrechtslehrer Band 72 (2013), S. 489</w:t>
      </w:r>
    </w:p>
    <w:p w:rsidR="005A4AB3" w:rsidRDefault="005A4AB3" w:rsidP="00CA37B6">
      <w:pPr>
        <w:tabs>
          <w:tab w:val="left" w:pos="567"/>
          <w:tab w:val="left" w:pos="993"/>
        </w:tabs>
        <w:spacing w:after="120"/>
        <w:jc w:val="both"/>
        <w:rPr>
          <w:sz w:val="24"/>
        </w:rPr>
      </w:pPr>
    </w:p>
    <w:p w:rsidR="00363758" w:rsidRPr="00CC1B75" w:rsidRDefault="00363758" w:rsidP="00CA37B6">
      <w:pPr>
        <w:tabs>
          <w:tab w:val="left" w:pos="567"/>
          <w:tab w:val="left" w:pos="993"/>
        </w:tabs>
        <w:spacing w:after="120"/>
        <w:jc w:val="both"/>
        <w:rPr>
          <w:sz w:val="24"/>
        </w:rPr>
      </w:pPr>
      <w:r>
        <w:rPr>
          <w:sz w:val="24"/>
          <w:szCs w:val="24"/>
        </w:rPr>
        <w:tab/>
        <w:t>6)</w:t>
      </w:r>
      <w:r>
        <w:rPr>
          <w:sz w:val="24"/>
          <w:szCs w:val="24"/>
        </w:rPr>
        <w:tab/>
        <w:t>35. Tagung der Deutschen Gesellschaft für Internationales Recht 2017, in: Rüc</w:t>
      </w:r>
      <w:r>
        <w:rPr>
          <w:sz w:val="24"/>
          <w:szCs w:val="24"/>
        </w:rPr>
        <w:t>k</w:t>
      </w:r>
      <w:r>
        <w:rPr>
          <w:sz w:val="24"/>
          <w:szCs w:val="24"/>
        </w:rPr>
        <w:t>blick nach 100 Jahren und Ausblick – Migrationsbewegungen. Berichte der Deutschen Gesel</w:t>
      </w:r>
      <w:r>
        <w:rPr>
          <w:sz w:val="24"/>
          <w:szCs w:val="24"/>
        </w:rPr>
        <w:t>l</w:t>
      </w:r>
      <w:r>
        <w:rPr>
          <w:sz w:val="24"/>
          <w:szCs w:val="24"/>
        </w:rPr>
        <w:t>schaft für Internationales Recht Band 49 (2018), S. 42</w:t>
      </w:r>
    </w:p>
    <w:p w:rsidR="005A4AB3" w:rsidRDefault="005A4AB3">
      <w:pPr>
        <w:pStyle w:val="berschrift3"/>
        <w:rPr>
          <w:bCs w:val="0"/>
        </w:rPr>
      </w:pPr>
    </w:p>
    <w:p w:rsidR="00363758" w:rsidRPr="00363758" w:rsidRDefault="00363758" w:rsidP="00363758"/>
    <w:p w:rsidR="00D3076A" w:rsidRDefault="00D3076A">
      <w:pPr>
        <w:pStyle w:val="berschrift3"/>
        <w:rPr>
          <w:bCs w:val="0"/>
        </w:rPr>
      </w:pPr>
      <w:r>
        <w:rPr>
          <w:bCs w:val="0"/>
        </w:rPr>
        <w:t>V</w:t>
      </w:r>
      <w:r w:rsidR="009B1520">
        <w:rPr>
          <w:bCs w:val="0"/>
        </w:rPr>
        <w:t>I</w:t>
      </w:r>
      <w:r>
        <w:rPr>
          <w:bCs w:val="0"/>
        </w:rPr>
        <w:t>.</w:t>
      </w:r>
      <w:r>
        <w:rPr>
          <w:bCs w:val="0"/>
        </w:rPr>
        <w:tab/>
        <w:t>Buchbesprechungen in Auswahl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-Einzug2"/>
        <w:tabs>
          <w:tab w:val="left" w:pos="567"/>
        </w:tabs>
      </w:pPr>
      <w:r>
        <w:t>Brugger, Winfried, Grundrechte und Verfassungsgerichtsbarkeit in den Vereinigten Staaten von Amerika, Tübingen 1987 (Zeitschrift für ausländisches öffentliches Recht und Völkerrecht 50 [1990], S. 147 – 150)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-Einzug2"/>
      </w:pPr>
      <w:r>
        <w:t>Arnull, Anthony, The General Principles of EEC Law and the Individual, London u.a. 1990 (Zeitschrift für ausländisches öffentliches Recht und Völkerrecht 50 [1990], S. 396 – 398)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-Einzug2"/>
      </w:pPr>
      <w:r>
        <w:t>Ederer, Markus, Die Europäische Wirtschaftsgemeinschaft und die Seerechtskonvention der Vereinten Nationen von 1982, München 1988 (Archiv des Völkerrechts 31 [1993], S. 175 – 177)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-Einzug2"/>
      </w:pPr>
      <w:r>
        <w:t>Heintschel von Heinegg, Wolff, Der Ägäis-Konflikt, Berlin 1989 (Archiv des Völke</w:t>
      </w:r>
      <w:r>
        <w:t>r</w:t>
      </w:r>
      <w:r>
        <w:t>rechts 32 [1994], S. 485 – 488)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-Einzug2"/>
      </w:pPr>
      <w:r>
        <w:lastRenderedPageBreak/>
        <w:t>Alexander Schmitt Glaeser, Grundgesetz und Europarecht als Elemente Europäischen Verfassungsrechts, Berlin 1996 (Neue Juristische Wochenschrift 1998, S. 3031)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-Einzug2"/>
      </w:pPr>
      <w:r>
        <w:t>Bieber, Roland/Widmer, Pierre (Hrsg.), L’espace constitutionnel européen – Der eur</w:t>
      </w:r>
      <w:r>
        <w:t>o</w:t>
      </w:r>
      <w:r>
        <w:t>päische Verfassungsraum – The European constitutional area, Zürich 1995 (Zeitschrift für ausländisches öffentliches Recht und Völkerrecht 59 [1999], S. 347 – 352)</w:t>
      </w:r>
    </w:p>
    <w:p w:rsidR="00D3076A" w:rsidRDefault="00D3076A">
      <w:pPr>
        <w:spacing w:after="120"/>
        <w:ind w:firstLine="709"/>
        <w:jc w:val="both"/>
        <w:rPr>
          <w:sz w:val="24"/>
        </w:rPr>
      </w:pPr>
    </w:p>
    <w:p w:rsidR="00D3076A" w:rsidRDefault="00D3076A">
      <w:pPr>
        <w:pStyle w:val="Textkrper-Einzug2"/>
      </w:pPr>
      <w:r>
        <w:t>Pünder, Hermann, Exekutive Normsetzung in den Vereinigten Staaten von Amerika und der Bundesrepublik Deutschland, Berlin 1995 (Archiv des öffentlichen Rechts 124 [1999], S. 316 – 320)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-Einzug2"/>
      </w:pPr>
      <w:r>
        <w:t>Stephens, Beth/Ratner, Michael, International Human Rights Litigation in U.S. Courts, Irvington-on-Hudson, NY 1996 (Zeitschrift für ausländisches öffentliches Recht und Völke</w:t>
      </w:r>
      <w:r>
        <w:t>r</w:t>
      </w:r>
      <w:r>
        <w:t>recht 59 [1999], S. 885 – 890)</w:t>
      </w:r>
    </w:p>
    <w:p w:rsidR="00D3076A" w:rsidRDefault="00D3076A">
      <w:pPr>
        <w:spacing w:after="120"/>
        <w:jc w:val="both"/>
        <w:rPr>
          <w:sz w:val="24"/>
        </w:rPr>
      </w:pPr>
    </w:p>
    <w:p w:rsidR="00D3076A" w:rsidRDefault="00D3076A">
      <w:pPr>
        <w:pStyle w:val="Textkrper-Zeileneinzug"/>
        <w:spacing w:after="120"/>
        <w:ind w:firstLine="567"/>
      </w:pPr>
      <w:r>
        <w:t>Iwasawa, Yuji, International Law, Human Rights, and Japanese Law, Oxford 1998 (Zeitschrift für ausländisches öffentliches Recht und Völkerrecht 60 [2000], S. 1115 – 1119)</w:t>
      </w:r>
    </w:p>
    <w:p w:rsidR="00D3076A" w:rsidRDefault="00D3076A">
      <w:pPr>
        <w:pStyle w:val="Textkrper-Zeileneinzug"/>
        <w:spacing w:after="120"/>
      </w:pPr>
    </w:p>
    <w:p w:rsidR="00D3076A" w:rsidRDefault="00D3076A">
      <w:pPr>
        <w:pStyle w:val="Textkrper-Zeileneinzug"/>
        <w:spacing w:after="120"/>
        <w:ind w:firstLine="567"/>
      </w:pPr>
      <w:r>
        <w:t>Schorlemer, Sabine von (Hrsg.), Praxishandbuch UNO, Berlin u.a. 2003 (Zeitschrift für ausländisches öffentliches Recht und Völkerrecht 63 [2003], S. 1096 – 1099)</w:t>
      </w:r>
    </w:p>
    <w:p w:rsidR="00D3076A" w:rsidRDefault="00D3076A">
      <w:pPr>
        <w:pStyle w:val="Textkrper-Zeileneinzug"/>
        <w:spacing w:after="120"/>
        <w:ind w:firstLine="0"/>
      </w:pPr>
      <w:r>
        <w:tab/>
      </w:r>
    </w:p>
    <w:p w:rsidR="00D3076A" w:rsidRDefault="00D3076A" w:rsidP="009C7A42">
      <w:pPr>
        <w:pStyle w:val="Textkrper-Zeileneinzug"/>
        <w:spacing w:after="120"/>
        <w:ind w:firstLine="0"/>
      </w:pPr>
      <w:r>
        <w:tab/>
      </w:r>
      <w:r>
        <w:rPr>
          <w:lang w:val="en-GB"/>
        </w:rPr>
        <w:t xml:space="preserve">Simma, Bruno (ed.), The Charter of the United Nations. </w:t>
      </w:r>
      <w:r>
        <w:t>A Commentary, München 2002 (Zeitschrift für ausländisches öffentliches Recht und Völkerrecht 65 [2005], S. 1033 – 1040)</w:t>
      </w:r>
    </w:p>
    <w:p w:rsidR="002C78BD" w:rsidRDefault="002C78BD" w:rsidP="009C7A42">
      <w:pPr>
        <w:pStyle w:val="Textkrper-Zeileneinzug"/>
        <w:spacing w:after="120"/>
        <w:ind w:firstLine="0"/>
      </w:pPr>
      <w:r>
        <w:tab/>
        <w:t>von Bogdandy, Armin/Huber, Peter M. (Hrsg.), Handbuch Ius Publicum Europaeum, Band I: Grundlagen und Grundzüge staatlichen Verfassungsrechts, Heidelberg 2007, und Band II: Offene Staatlichkeit – Wissenschaft vom Verfassungsrecht, Heidelberg 2008 (Ge</w:t>
      </w:r>
      <w:r>
        <w:t>r</w:t>
      </w:r>
      <w:r>
        <w:t>man Yearbook of International Law, Vol. 51 [2008], S. 731 – 738)</w:t>
      </w:r>
    </w:p>
    <w:p w:rsidR="00066FF5" w:rsidRDefault="00066FF5" w:rsidP="009C7A42">
      <w:pPr>
        <w:pStyle w:val="Textkrper-Zeileneinzug"/>
        <w:spacing w:after="120"/>
        <w:ind w:firstLine="0"/>
      </w:pPr>
    </w:p>
    <w:p w:rsidR="00066FF5" w:rsidRDefault="00066FF5" w:rsidP="009C7A42">
      <w:pPr>
        <w:pStyle w:val="Textkrper-Zeileneinzug"/>
        <w:spacing w:after="120"/>
        <w:ind w:firstLine="0"/>
        <w:rPr>
          <w:lang w:val="en-US"/>
        </w:rPr>
      </w:pPr>
      <w:r>
        <w:tab/>
      </w:r>
      <w:r w:rsidRPr="00E36DE3">
        <w:rPr>
          <w:lang w:val="en-US"/>
        </w:rPr>
        <w:t>Eeckhout, Piet, EU External Relations Law</w:t>
      </w:r>
      <w:r>
        <w:rPr>
          <w:lang w:val="en-US"/>
        </w:rPr>
        <w:t xml:space="preserve">, second edition Oxford 2011 </w:t>
      </w:r>
      <w:r w:rsidRPr="00E36DE3">
        <w:rPr>
          <w:lang w:val="en-US"/>
        </w:rPr>
        <w:t>(German Yearbo</w:t>
      </w:r>
      <w:r>
        <w:rPr>
          <w:lang w:val="en-US"/>
        </w:rPr>
        <w:t>ok of International Law, Vol. 54 [2011], S. 787 – 794</w:t>
      </w:r>
      <w:r w:rsidRPr="00E36DE3">
        <w:rPr>
          <w:lang w:val="en-US"/>
        </w:rPr>
        <w:t>)</w:t>
      </w:r>
    </w:p>
    <w:p w:rsidR="00295020" w:rsidRDefault="00295020" w:rsidP="009C7A42">
      <w:pPr>
        <w:pStyle w:val="Textkrper-Zeileneinzug"/>
        <w:spacing w:after="120"/>
        <w:ind w:firstLine="0"/>
        <w:rPr>
          <w:lang w:val="en-US"/>
        </w:rPr>
      </w:pPr>
    </w:p>
    <w:p w:rsidR="00295020" w:rsidRDefault="00295020" w:rsidP="009C7A42">
      <w:pPr>
        <w:pStyle w:val="Textkrper-Zeileneinzug"/>
        <w:spacing w:after="120"/>
        <w:ind w:firstLine="0"/>
        <w:rPr>
          <w:lang w:val="en-US"/>
        </w:rPr>
      </w:pPr>
    </w:p>
    <w:p w:rsidR="00295020" w:rsidRPr="00B370C4" w:rsidRDefault="00295020" w:rsidP="00295020">
      <w:pPr>
        <w:pStyle w:val="Textkrper-Zeileneinzug"/>
        <w:spacing w:after="120"/>
        <w:ind w:firstLine="0"/>
        <w:rPr>
          <w:b/>
        </w:rPr>
      </w:pPr>
      <w:r w:rsidRPr="00B370C4">
        <w:rPr>
          <w:b/>
        </w:rPr>
        <w:t>VII.</w:t>
      </w:r>
      <w:r w:rsidRPr="00B370C4">
        <w:rPr>
          <w:b/>
        </w:rPr>
        <w:tab/>
        <w:t>Varia</w:t>
      </w:r>
    </w:p>
    <w:p w:rsidR="00295020" w:rsidRPr="00B370C4" w:rsidRDefault="00295020" w:rsidP="00295020">
      <w:pPr>
        <w:pStyle w:val="Textkrper-Zeileneinzug"/>
        <w:spacing w:after="120"/>
        <w:ind w:firstLine="0"/>
      </w:pPr>
    </w:p>
    <w:p w:rsidR="00295020" w:rsidRPr="00B43D77" w:rsidRDefault="00295020" w:rsidP="00295020">
      <w:pPr>
        <w:pStyle w:val="Textkrper-Zeileneinzug"/>
        <w:spacing w:after="120"/>
        <w:ind w:firstLine="0"/>
      </w:pPr>
      <w:r w:rsidRPr="00B370C4">
        <w:tab/>
      </w:r>
      <w:r>
        <w:t>Völkerrecht und Gemeinschaftsrecht</w:t>
      </w:r>
      <w:r w:rsidRPr="00B43D77">
        <w:t>, Leserbrief in der Frankfurter Allgemeinen Ze</w:t>
      </w:r>
      <w:r w:rsidRPr="00B43D77">
        <w:t>i</w:t>
      </w:r>
      <w:r>
        <w:t>tung vom 13.09</w:t>
      </w:r>
      <w:r w:rsidRPr="00B43D77">
        <w:t>.2008</w:t>
      </w:r>
      <w:r>
        <w:t>, S. 8</w:t>
      </w:r>
    </w:p>
    <w:p w:rsidR="00295020" w:rsidRPr="00B43D77" w:rsidRDefault="00295020" w:rsidP="00295020">
      <w:pPr>
        <w:pStyle w:val="Textkrper-Zeileneinzug"/>
        <w:spacing w:after="120"/>
        <w:ind w:firstLine="0"/>
      </w:pPr>
    </w:p>
    <w:p w:rsidR="00295020" w:rsidRPr="00295020" w:rsidRDefault="00295020" w:rsidP="009471D3">
      <w:pPr>
        <w:pStyle w:val="Textkrper-Zeileneinzug"/>
        <w:spacing w:after="120"/>
      </w:pPr>
      <w:r w:rsidRPr="00B43D77">
        <w:t>Kirchhof fern der Wirklichkeit, Leserbrief in der Frankfurter Allgemeinen Zeitung vom 29.12.2017</w:t>
      </w:r>
      <w:r>
        <w:t>, S. 29</w:t>
      </w:r>
    </w:p>
    <w:sectPr w:rsidR="00295020" w:rsidRPr="00295020" w:rsidSect="00EA531B">
      <w:headerReference w:type="even" r:id="rId25"/>
      <w:headerReference w:type="default" r:id="rId26"/>
      <w:footnotePr>
        <w:numRestart w:val="eachSect"/>
      </w:footnotePr>
      <w:pgSz w:w="11907" w:h="16840"/>
      <w:pgMar w:top="1418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AB" w:rsidRDefault="00935BAB">
      <w:r>
        <w:separator/>
      </w:r>
    </w:p>
  </w:endnote>
  <w:endnote w:type="continuationSeparator" w:id="0">
    <w:p w:rsidR="00935BAB" w:rsidRDefault="0093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AB" w:rsidRDefault="00935BAB">
      <w:r>
        <w:separator/>
      </w:r>
    </w:p>
  </w:footnote>
  <w:footnote w:type="continuationSeparator" w:id="0">
    <w:p w:rsidR="00935BAB" w:rsidRDefault="00935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CE" w:rsidRDefault="005D68C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4152E">
      <w:rPr>
        <w:rStyle w:val="Seitenzahl"/>
        <w:noProof/>
      </w:rPr>
      <w:t>16</w:t>
    </w:r>
    <w:r>
      <w:rPr>
        <w:rStyle w:val="Seitenzahl"/>
      </w:rPr>
      <w:fldChar w:fldCharType="end"/>
    </w:r>
  </w:p>
  <w:p w:rsidR="005D68CE" w:rsidRDefault="005D68CE">
    <w:pPr>
      <w:pStyle w:val="Kopfzeile"/>
      <w:tabs>
        <w:tab w:val="clear" w:pos="4536"/>
      </w:tabs>
      <w:ind w:right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CE" w:rsidRDefault="005D68C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4152E">
      <w:rPr>
        <w:rStyle w:val="Seitenzahl"/>
        <w:noProof/>
      </w:rPr>
      <w:t>17</w:t>
    </w:r>
    <w:r>
      <w:rPr>
        <w:rStyle w:val="Seitenzahl"/>
      </w:rPr>
      <w:fldChar w:fldCharType="end"/>
    </w:r>
  </w:p>
  <w:p w:rsidR="005D68CE" w:rsidRDefault="005D68CE">
    <w:pPr>
      <w:pStyle w:val="Kopfzeile"/>
      <w:tabs>
        <w:tab w:val="clear" w:pos="4536"/>
      </w:tabs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84A"/>
    <w:rsid w:val="00066FF5"/>
    <w:rsid w:val="000C45FE"/>
    <w:rsid w:val="00116284"/>
    <w:rsid w:val="001251E0"/>
    <w:rsid w:val="00154576"/>
    <w:rsid w:val="00160EC0"/>
    <w:rsid w:val="00173E48"/>
    <w:rsid w:val="00217BF3"/>
    <w:rsid w:val="00285160"/>
    <w:rsid w:val="00295020"/>
    <w:rsid w:val="002B7595"/>
    <w:rsid w:val="002C78BD"/>
    <w:rsid w:val="00311309"/>
    <w:rsid w:val="00357773"/>
    <w:rsid w:val="00363758"/>
    <w:rsid w:val="00372F9F"/>
    <w:rsid w:val="003B7BEF"/>
    <w:rsid w:val="003D0FF4"/>
    <w:rsid w:val="00406BBF"/>
    <w:rsid w:val="00417391"/>
    <w:rsid w:val="00453BA2"/>
    <w:rsid w:val="00471870"/>
    <w:rsid w:val="00497F55"/>
    <w:rsid w:val="004C2F5B"/>
    <w:rsid w:val="004F3F40"/>
    <w:rsid w:val="0055658E"/>
    <w:rsid w:val="005729C9"/>
    <w:rsid w:val="00581CB9"/>
    <w:rsid w:val="00594407"/>
    <w:rsid w:val="005A2D8A"/>
    <w:rsid w:val="005A4AB3"/>
    <w:rsid w:val="005B49A1"/>
    <w:rsid w:val="005D68CE"/>
    <w:rsid w:val="00626912"/>
    <w:rsid w:val="006534B0"/>
    <w:rsid w:val="00653D64"/>
    <w:rsid w:val="006A421B"/>
    <w:rsid w:val="00721C74"/>
    <w:rsid w:val="007576B3"/>
    <w:rsid w:val="00786F86"/>
    <w:rsid w:val="00790279"/>
    <w:rsid w:val="007B594E"/>
    <w:rsid w:val="007E722E"/>
    <w:rsid w:val="00811F7F"/>
    <w:rsid w:val="00871B33"/>
    <w:rsid w:val="00882E91"/>
    <w:rsid w:val="008A35E5"/>
    <w:rsid w:val="008E3286"/>
    <w:rsid w:val="00924047"/>
    <w:rsid w:val="00926AD4"/>
    <w:rsid w:val="009279C3"/>
    <w:rsid w:val="00935BAB"/>
    <w:rsid w:val="009471D3"/>
    <w:rsid w:val="009B0AA3"/>
    <w:rsid w:val="009B1520"/>
    <w:rsid w:val="009B3EB1"/>
    <w:rsid w:val="009C7A42"/>
    <w:rsid w:val="009E6AEC"/>
    <w:rsid w:val="009F43FC"/>
    <w:rsid w:val="00A1552D"/>
    <w:rsid w:val="00A37535"/>
    <w:rsid w:val="00A42ECD"/>
    <w:rsid w:val="00AC4106"/>
    <w:rsid w:val="00AE735A"/>
    <w:rsid w:val="00AF0D4E"/>
    <w:rsid w:val="00B058FA"/>
    <w:rsid w:val="00B15E99"/>
    <w:rsid w:val="00B30A8D"/>
    <w:rsid w:val="00B4152E"/>
    <w:rsid w:val="00B6236F"/>
    <w:rsid w:val="00B91986"/>
    <w:rsid w:val="00BC32E8"/>
    <w:rsid w:val="00BF304E"/>
    <w:rsid w:val="00C10457"/>
    <w:rsid w:val="00C2488C"/>
    <w:rsid w:val="00C70A1E"/>
    <w:rsid w:val="00C70A7E"/>
    <w:rsid w:val="00C714F3"/>
    <w:rsid w:val="00CA37B6"/>
    <w:rsid w:val="00CA684A"/>
    <w:rsid w:val="00CC1B75"/>
    <w:rsid w:val="00CE3D1D"/>
    <w:rsid w:val="00CF00B0"/>
    <w:rsid w:val="00D14A5D"/>
    <w:rsid w:val="00D271A9"/>
    <w:rsid w:val="00D3076A"/>
    <w:rsid w:val="00DC3D10"/>
    <w:rsid w:val="00E02BEE"/>
    <w:rsid w:val="00E067A4"/>
    <w:rsid w:val="00E14D47"/>
    <w:rsid w:val="00E354B1"/>
    <w:rsid w:val="00E4207F"/>
    <w:rsid w:val="00E5454B"/>
    <w:rsid w:val="00E922A4"/>
    <w:rsid w:val="00EA052B"/>
    <w:rsid w:val="00EA531B"/>
    <w:rsid w:val="00EB7F98"/>
    <w:rsid w:val="00ED0928"/>
    <w:rsid w:val="00F31AD6"/>
    <w:rsid w:val="00F43B14"/>
    <w:rsid w:val="00F95ECD"/>
    <w:rsid w:val="00F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d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531B"/>
    <w:rPr>
      <w:rFonts w:ascii="Times New Roman" w:hAnsi="Times New Roman"/>
    </w:rPr>
  </w:style>
  <w:style w:type="paragraph" w:styleId="berschrift1">
    <w:name w:val="heading 1"/>
    <w:basedOn w:val="Standard"/>
    <w:next w:val="Standard"/>
    <w:qFormat/>
    <w:rsid w:val="00EA531B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EA531B"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EA531B"/>
    <w:pPr>
      <w:keepNext/>
      <w:tabs>
        <w:tab w:val="left" w:pos="567"/>
      </w:tabs>
      <w:spacing w:after="120"/>
      <w:jc w:val="both"/>
      <w:outlineLvl w:val="2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A531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531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A531B"/>
  </w:style>
  <w:style w:type="paragraph" w:styleId="Textkrper">
    <w:name w:val="Body Text"/>
    <w:basedOn w:val="Standard"/>
    <w:rsid w:val="00EA531B"/>
    <w:rPr>
      <w:sz w:val="24"/>
    </w:rPr>
  </w:style>
  <w:style w:type="paragraph" w:styleId="Textkrper-Zeileneinzug">
    <w:name w:val="Body Text Indent"/>
    <w:basedOn w:val="Standard"/>
    <w:rsid w:val="00EA531B"/>
    <w:pPr>
      <w:ind w:firstLine="709"/>
      <w:jc w:val="both"/>
    </w:pPr>
    <w:rPr>
      <w:sz w:val="24"/>
    </w:rPr>
  </w:style>
  <w:style w:type="paragraph" w:styleId="Textkrper2">
    <w:name w:val="Body Text 2"/>
    <w:basedOn w:val="Standard"/>
    <w:rsid w:val="00EA531B"/>
    <w:pPr>
      <w:jc w:val="both"/>
    </w:pPr>
    <w:rPr>
      <w:sz w:val="24"/>
    </w:rPr>
  </w:style>
  <w:style w:type="paragraph" w:styleId="Textkrper-Einzug2">
    <w:name w:val="Body Text Indent 2"/>
    <w:basedOn w:val="Standard"/>
    <w:rsid w:val="00EA531B"/>
    <w:pPr>
      <w:spacing w:after="120"/>
      <w:ind w:firstLine="567"/>
      <w:jc w:val="both"/>
    </w:pPr>
    <w:rPr>
      <w:sz w:val="24"/>
    </w:rPr>
  </w:style>
  <w:style w:type="character" w:styleId="Hyperlink">
    <w:name w:val="Hyperlink"/>
    <w:rsid w:val="00EA531B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F31AD6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uiPriority w:val="22"/>
    <w:qFormat/>
    <w:rsid w:val="00F31AD6"/>
    <w:rPr>
      <w:b/>
      <w:bCs/>
    </w:rPr>
  </w:style>
  <w:style w:type="paragraph" w:styleId="Sprechblasentext">
    <w:name w:val="Balloon Text"/>
    <w:basedOn w:val="Standard"/>
    <w:link w:val="SprechblasentextZchn"/>
    <w:semiHidden/>
    <w:rsid w:val="005D68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5D68CE"/>
    <w:rPr>
      <w:rFonts w:ascii="Tahoma" w:hAnsi="Tahoma" w:cs="Tahoma"/>
      <w:sz w:val="16"/>
      <w:szCs w:val="16"/>
    </w:rPr>
  </w:style>
  <w:style w:type="character" w:customStyle="1" w:styleId="object">
    <w:name w:val="object"/>
    <w:rsid w:val="005D6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an-monnet-saar.eu/?p=1614" TargetMode="External"/><Relationship Id="rId13" Type="http://schemas.openxmlformats.org/officeDocument/2006/relationships/hyperlink" Target="https://jean-monnet-saar.eu/?page_id=2956" TargetMode="External"/><Relationship Id="rId18" Type="http://schemas.openxmlformats.org/officeDocument/2006/relationships/hyperlink" Target="https://jean-monnet-saar.eu/?page_id=3144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jean-monnet-saar.eu/?page_id=51353" TargetMode="External"/><Relationship Id="rId7" Type="http://schemas.openxmlformats.org/officeDocument/2006/relationships/hyperlink" Target="http://jean-monnet-saar.eu/wp-content/uploads/2013/12/GutachtenDatenschutz.pdf" TargetMode="External"/><Relationship Id="rId12" Type="http://schemas.openxmlformats.org/officeDocument/2006/relationships/hyperlink" Target="https://jean-monnet-saar.eu/?page_id=2803" TargetMode="External"/><Relationship Id="rId17" Type="http://schemas.openxmlformats.org/officeDocument/2006/relationships/hyperlink" Target="https://jean-monnet-saar.eu/?page_id=3130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jean-monnet-saar.eu/?page_id=3079" TargetMode="External"/><Relationship Id="rId20" Type="http://schemas.openxmlformats.org/officeDocument/2006/relationships/hyperlink" Target="https://jean-monnet-saar.eu/wp-content/uploads/2021/04/Giegerich_Kurzarbeitergeld-inlaendische-Betriebe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jean-monnet-saar.eu/?page_id=2726" TargetMode="External"/><Relationship Id="rId24" Type="http://schemas.openxmlformats.org/officeDocument/2006/relationships/hyperlink" Target="https://jean-monnet-saar.eu/wp-content/uploads/2021/06/Nachspiele_PSPP_Urtei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ean-monnet-saar.eu/wp-content/uploads/2020/12/Giegerich_75-Jahre-Internationale-Menschnerechtsrevolution.pdf" TargetMode="External"/><Relationship Id="rId23" Type="http://schemas.openxmlformats.org/officeDocument/2006/relationships/hyperlink" Target="https://jean-monnet-saar.eu/wp-content/uploads/2021/05/Symposium-Gender-Parity_updated-version_II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jean-monnet-saar.eu/wp-content/uploads/2020/06/ECB_Judgment_2020.pdf" TargetMode="External"/><Relationship Id="rId19" Type="http://schemas.openxmlformats.org/officeDocument/2006/relationships/hyperlink" Target="https://jean-monnet-saar.eu/wp-content/uploads/2021/03/Menschenrechte-und-Antidiskriminieru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ean-monnet-saar.eu/?page_id=2642" TargetMode="External"/><Relationship Id="rId14" Type="http://schemas.openxmlformats.org/officeDocument/2006/relationships/hyperlink" Target="https://jean-monnet-saar.eu/wp-content/uploads/2020/12/Menschenrechte_Leitfaden_2020-1.pdf" TargetMode="External"/><Relationship Id="rId22" Type="http://schemas.openxmlformats.org/officeDocument/2006/relationships/hyperlink" Target="https://jean-monnet-saar.eu/?page_id=5250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7706</Words>
  <Characters>48549</Characters>
  <Application>Microsoft Office Word</Application>
  <DocSecurity>0</DocSecurity>
  <Lines>404</Lines>
  <Paragraphs>112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Dr. Thomas Giegerich								3.2.1997</vt:lpstr>
    </vt:vector>
  </TitlesOfParts>
  <Company>MPI für Völkerrecht</Company>
  <LinksUpToDate>false</LinksUpToDate>
  <CharactersWithSpaces>56143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Thomas Giegerich								3.2.1997</dc:title>
  <dc:creator>PC-Netz</dc:creator>
  <cp:lastModifiedBy>Univ.-Prof. Dr. Thomas Giegerich LL.M.</cp:lastModifiedBy>
  <cp:revision>2</cp:revision>
  <cp:lastPrinted>2002-05-19T15:12:00Z</cp:lastPrinted>
  <dcterms:created xsi:type="dcterms:W3CDTF">2021-06-16T06:52:00Z</dcterms:created>
  <dcterms:modified xsi:type="dcterms:W3CDTF">2021-06-16T06:52:00Z</dcterms:modified>
</cp:coreProperties>
</file>